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4E7" w14:textId="77777777" w:rsidR="007814A1" w:rsidRDefault="007814A1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4A177D00" w14:textId="77777777" w:rsidR="007814A1" w:rsidRDefault="007814A1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2353DA" w14:textId="77777777"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2054866C" w14:textId="77777777"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5B5A7DD" w14:textId="35584DCB" w:rsidR="003D612C" w:rsidRPr="00BD4CA7" w:rsidRDefault="002C00DE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="003D612C">
        <w:rPr>
          <w:rFonts w:ascii="Times New Roman" w:hAnsi="Times New Roman" w:cs="Times New Roman"/>
          <w:sz w:val="24"/>
          <w:szCs w:val="24"/>
        </w:rPr>
        <w:t xml:space="preserve"> </w:t>
      </w:r>
      <w:r w:rsidR="0044706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04F5B6D6" w14:textId="77777777" w:rsidR="003D612C" w:rsidRDefault="003E6A7B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14A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814A1">
        <w:rPr>
          <w:rFonts w:ascii="Times New Roman" w:hAnsi="Times New Roman" w:cs="Times New Roman"/>
          <w:sz w:val="24"/>
          <w:szCs w:val="24"/>
        </w:rPr>
        <w:t>____</w:t>
      </w:r>
    </w:p>
    <w:p w14:paraId="6173D248" w14:textId="77777777"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14:paraId="33570A3F" w14:textId="5380B663"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роля на территории </w:t>
      </w:r>
      <w:r w:rsidR="004470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Красноармейского муниципального округа Чувашской Республики</w:t>
      </w: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14:paraId="2D30D08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14:paraId="44BD9DDE" w14:textId="771A94E2"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 Чувашской Республики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14:paraId="395E3606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14:paraId="6E4B5EF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14:paraId="5C8815CE" w14:textId="77777777" w:rsidR="00867653" w:rsidRPr="002B1C4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6E1C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6E1C8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- орган муниципального жилищного контроля).</w:t>
      </w:r>
    </w:p>
    <w:p w14:paraId="6BB97073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14:paraId="441BEC34" w14:textId="6DB82F9F"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Чувашской Республики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7E416D9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14:paraId="2F17215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2567B40B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672D9DF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4F1D0B9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8536A71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14:paraId="232733D0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14:paraId="31FB865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14:paraId="195D4791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14:paraId="2A8F539A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7871130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73AB3AE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14:paraId="0AFF68F1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0369A1DF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0673A3F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14:paraId="1D65AD78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14:paraId="60BCA8A9" w14:textId="59B123F6"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14:paraId="409F53F4" w14:textId="2CC457AF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Чувашской Республики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E1C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</w:t>
      </w:r>
      <w:r w:rsid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армейского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E1C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</w:t>
      </w:r>
      <w:r w:rsid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армейского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3B649B72" w14:textId="0084BD2A" w:rsidR="00867653" w:rsidRPr="002B1C46" w:rsidRDefault="00447068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2021 году в отношении физических, юридических лиц и индивидуальных предпринимателей органом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плановые и внеплановые проверки соблюдения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не проводились.</w:t>
      </w:r>
    </w:p>
    <w:p w14:paraId="1DAC3C28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14:paraId="738C98E7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73D2D5F8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7A677544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6E0A9A60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14:paraId="27D14BA3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14:paraId="234F824F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14:paraId="3C46DF3A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05EE7556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8181FBD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8651A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14:paraId="7BF846A4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EBAF7E3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5C4B879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46E5E148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повышение прозрачности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осуществляемой 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7C007380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385BE85E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14:paraId="5E804DEA" w14:textId="27D070F9" w:rsidR="0040234B" w:rsidRPr="00447068" w:rsidRDefault="00867653" w:rsidP="004470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14:paraId="7B39E32B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14:paraId="76CCEEAA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2EECEE50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27F44F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14:paraId="7785594C" w14:textId="77777777"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1BFA0D5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14:paraId="3F89FEB2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BFCBB0C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>
        <w:rPr>
          <w:rFonts w:ascii="Times New Roman" w:hAnsi="Times New Roman" w:cs="Times New Roman"/>
          <w:sz w:val="24"/>
          <w:szCs w:val="24"/>
        </w:rPr>
        <w:t>у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14:paraId="19A080AC" w14:textId="77777777"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14:paraId="3D74FAA3" w14:textId="77777777"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14:paraId="4BC002E0" w14:textId="7BDE3625" w:rsidR="00867653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46FAE" w:rsidRPr="00346F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Красноармейского муниципального округа</w:t>
      </w:r>
    </w:p>
    <w:p w14:paraId="203B260A" w14:textId="77777777" w:rsidR="0040234B" w:rsidRPr="008E5B75" w:rsidRDefault="0040234B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261" w:type="dxa"/>
        <w:tblInd w:w="-89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73"/>
        <w:gridCol w:w="3402"/>
        <w:gridCol w:w="2327"/>
      </w:tblGrid>
      <w:tr w:rsidR="008E5B75" w:rsidRPr="002B1C46" w14:paraId="534D9C64" w14:textId="77777777" w:rsidTr="002F78B5">
        <w:trPr>
          <w:trHeight w:val="74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2F1F3C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2CDECDA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045FE8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E012A8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3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38ACE6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14:paraId="21CAAA43" w14:textId="77777777" w:rsidTr="002F78B5">
        <w:trPr>
          <w:trHeight w:val="949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7581F1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06F4AF" w14:textId="76789BAC"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44706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E5BA42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3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276A45" w14:textId="1DC8FCC2" w:rsidR="008E5B75" w:rsidRDefault="002F78B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    </w:t>
            </w:r>
            <w:r w:rsidR="007E0AC0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(83551) 2-1</w:t>
            </w:r>
            <w:r w:rsidR="003F350A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0</w:t>
            </w:r>
            <w:r w:rsidR="007E0AC0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-</w:t>
            </w:r>
            <w:r w:rsidR="003F350A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54</w:t>
            </w:r>
          </w:p>
          <w:p w14:paraId="5E2488F2" w14:textId="769C6BC0" w:rsidR="002F78B5" w:rsidRPr="00DB4562" w:rsidRDefault="002F78B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t xml:space="preserve">    </w:t>
            </w:r>
            <w:hyperlink r:id="rId7" w:history="1"/>
            <w:r w:rsidR="003F350A">
              <w:rPr>
                <w:rFonts w:ascii="Arial" w:hAnsi="Arial" w:cs="Arial"/>
                <w:color w:val="4D6BBC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3F350A" w:rsidRPr="003F350A">
              <w:rPr>
                <w:rFonts w:ascii="Arial" w:hAnsi="Arial" w:cs="Arial"/>
                <w:color w:val="4D6BBC"/>
                <w:sz w:val="21"/>
                <w:szCs w:val="21"/>
                <w:u w:val="single"/>
                <w:shd w:val="clear" w:color="auto" w:fill="FFFFFF"/>
              </w:rPr>
              <w:t>krarm_stroitel@cap.ru</w:t>
            </w:r>
          </w:p>
          <w:p w14:paraId="3AA68860" w14:textId="77777777"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14:paraId="76F28894" w14:textId="71B7A333"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14:paraId="516E9777" w14:textId="08552C79"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47068" w:rsidRPr="004470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Красноармейского муниципального округа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14:paraId="1AB59A42" w14:textId="4697E1D8" w:rsidR="006E1C80" w:rsidRDefault="006E1C80" w:rsidP="0028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DA3996E" w14:textId="69DEA0E7" w:rsidR="00447068" w:rsidRDefault="00447068" w:rsidP="0028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CCFBD60" w14:textId="77777777" w:rsidR="003F350A" w:rsidRDefault="003F350A" w:rsidP="00282B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1281BDB" w14:textId="77777777" w:rsidR="003F350A" w:rsidRDefault="003F350A" w:rsidP="00BE348A">
      <w:pPr>
        <w:pStyle w:val="50"/>
        <w:shd w:val="clear" w:color="auto" w:fill="auto"/>
        <w:ind w:right="16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D35227C" w14:textId="77777777" w:rsidR="003F350A" w:rsidRPr="003F350A" w:rsidRDefault="003F350A" w:rsidP="003F350A">
      <w:pPr>
        <w:widowControl w:val="0"/>
        <w:spacing w:after="0" w:line="298" w:lineRule="exact"/>
        <w:ind w:right="160"/>
        <w:jc w:val="right"/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</w:pPr>
      <w:r w:rsidRPr="003F350A"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  <w:t>Приложение к Программе профилактики рисков</w:t>
      </w:r>
    </w:p>
    <w:p w14:paraId="6A78BB06" w14:textId="77777777" w:rsidR="003F350A" w:rsidRPr="003F350A" w:rsidRDefault="003F350A" w:rsidP="003F350A">
      <w:pPr>
        <w:widowControl w:val="0"/>
        <w:spacing w:line="298" w:lineRule="exact"/>
        <w:ind w:left="3980" w:right="160"/>
        <w:jc w:val="right"/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</w:pPr>
      <w:r w:rsidRPr="003F350A">
        <w:rPr>
          <w:rFonts w:ascii="Arial" w:eastAsia="Arial" w:hAnsi="Arial" w:cs="Arial"/>
          <w:b/>
          <w:bCs/>
          <w:i/>
          <w:iCs/>
          <w:sz w:val="26"/>
          <w:szCs w:val="26"/>
          <w:lang w:eastAsia="ru-RU" w:bidi="ru-RU"/>
        </w:rPr>
        <w:t>причинения вреда (ущерба) охраняемым законом ценностям на 2022 год</w:t>
      </w:r>
    </w:p>
    <w:p w14:paraId="34ABB610" w14:textId="77777777" w:rsidR="003F350A" w:rsidRPr="003F350A" w:rsidRDefault="003F350A" w:rsidP="003F350A">
      <w:pPr>
        <w:keepNext/>
        <w:keepLines/>
        <w:widowControl w:val="0"/>
        <w:spacing w:after="0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F3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План мероприятий по профилактике нарушений жилищного законодательства на территории Красноармейского муниципального округа Чувашской Республики </w:t>
      </w:r>
    </w:p>
    <w:p w14:paraId="3A745855" w14:textId="77777777" w:rsidR="003F350A" w:rsidRPr="003F350A" w:rsidRDefault="003F350A" w:rsidP="003F350A">
      <w:pPr>
        <w:keepNext/>
        <w:keepLines/>
        <w:widowControl w:val="0"/>
        <w:spacing w:after="248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F3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 2022 год</w:t>
      </w:r>
      <w:r w:rsidRPr="003F350A">
        <w:rPr>
          <w:rFonts w:ascii="Arial" w:eastAsia="Arial" w:hAnsi="Arial" w:cs="Arial"/>
          <w:b/>
          <w:bCs/>
          <w:sz w:val="26"/>
          <w:szCs w:val="26"/>
          <w:lang w:eastAsia="ru-RU" w:bidi="ru-RU"/>
        </w:rPr>
        <w:tab/>
      </w:r>
    </w:p>
    <w:tbl>
      <w:tblPr>
        <w:tblStyle w:val="1"/>
        <w:tblW w:w="1000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932"/>
        <w:gridCol w:w="1588"/>
        <w:gridCol w:w="935"/>
      </w:tblGrid>
      <w:tr w:rsidR="003F350A" w:rsidRPr="003F350A" w14:paraId="361003F6" w14:textId="77777777" w:rsidTr="003F350A">
        <w:tc>
          <w:tcPr>
            <w:tcW w:w="562" w:type="dxa"/>
            <w:vAlign w:val="bottom"/>
          </w:tcPr>
          <w:p w14:paraId="1C6D8A8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16801C2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5" w:type="dxa"/>
          </w:tcPr>
          <w:p w14:paraId="7E18497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14:paraId="04C739D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4932" w:type="dxa"/>
          </w:tcPr>
          <w:p w14:paraId="6A02BE40" w14:textId="77777777" w:rsidR="003F350A" w:rsidRPr="003F350A" w:rsidRDefault="003F350A" w:rsidP="003F3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499297" w14:textId="77777777" w:rsidR="003F350A" w:rsidRPr="003F350A" w:rsidRDefault="003F350A" w:rsidP="003F3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Сведения о мероприятии</w:t>
            </w:r>
          </w:p>
        </w:tc>
        <w:tc>
          <w:tcPr>
            <w:tcW w:w="1588" w:type="dxa"/>
          </w:tcPr>
          <w:p w14:paraId="4F896F90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14:paraId="6689D6CE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935" w:type="dxa"/>
          </w:tcPr>
          <w:p w14:paraId="51028177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Срок</w:t>
            </w:r>
          </w:p>
          <w:p w14:paraId="682D89E5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3F350A" w:rsidRPr="003F350A" w14:paraId="54806733" w14:textId="77777777" w:rsidTr="003F350A">
        <w:tc>
          <w:tcPr>
            <w:tcW w:w="562" w:type="dxa"/>
          </w:tcPr>
          <w:p w14:paraId="1F74D22E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</w:tcPr>
          <w:p w14:paraId="5FAFF212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Информирование</w:t>
            </w:r>
          </w:p>
        </w:tc>
        <w:tc>
          <w:tcPr>
            <w:tcW w:w="4932" w:type="dxa"/>
            <w:vAlign w:val="bottom"/>
          </w:tcPr>
          <w:p w14:paraId="7BE681B0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50A4562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Информирование осуществляется посредством размещения соответствующих сведений на официальном сайте администрации Красноармейского муниципального округа в информационно-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 и в иных формах.</w:t>
            </w:r>
          </w:p>
          <w:p w14:paraId="0614919A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14:paraId="5E2281F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14:paraId="6CE16D7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руководства по соблюдению обязательных требований.</w:t>
            </w:r>
          </w:p>
          <w:p w14:paraId="1F328FE2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14:paraId="71C6968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A8AD466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доклады, содержащие результаты обобщения правоприменительной практики;</w:t>
            </w:r>
          </w:p>
          <w:p w14:paraId="6B032EFC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доклады о муниципальном контроле;</w:t>
            </w:r>
          </w:p>
          <w:p w14:paraId="742E62E5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88" w:type="dxa"/>
          </w:tcPr>
          <w:p w14:paraId="3294D40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14:paraId="12967BC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</w:p>
        </w:tc>
        <w:tc>
          <w:tcPr>
            <w:tcW w:w="935" w:type="dxa"/>
          </w:tcPr>
          <w:p w14:paraId="3217C22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3F350A" w:rsidRPr="003F350A" w14:paraId="5AE99651" w14:textId="77777777" w:rsidTr="003F350A">
        <w:tc>
          <w:tcPr>
            <w:tcW w:w="562" w:type="dxa"/>
          </w:tcPr>
          <w:p w14:paraId="5D03F43B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985" w:type="dxa"/>
          </w:tcPr>
          <w:p w14:paraId="7BBD5A1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  <w:p w14:paraId="2A3527D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правоприменительной</w:t>
            </w:r>
          </w:p>
          <w:p w14:paraId="5445A7FC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практики</w:t>
            </w:r>
          </w:p>
        </w:tc>
        <w:tc>
          <w:tcPr>
            <w:tcW w:w="4932" w:type="dxa"/>
            <w:vAlign w:val="bottom"/>
          </w:tcPr>
          <w:p w14:paraId="0F4A62B0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 xml:space="preserve">Доклад о правоприменительной практике при осуществлении муниципального контроля готовится ежегодно до 1 марта года, </w:t>
            </w: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следующего за отчетным, подлежит публичному обсуждению.</w:t>
            </w:r>
          </w:p>
          <w:p w14:paraId="33B8C23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Доклад о правоприменительной практике размещается на официальном сайте администрации Красноармейского муниципального округа в информационно-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1588" w:type="dxa"/>
          </w:tcPr>
          <w:p w14:paraId="5200A93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7E68F4B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</w:t>
            </w:r>
          </w:p>
          <w:p w14:paraId="1B80870B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2CC968F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45CCBFDF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1 раз в год</w:t>
            </w:r>
          </w:p>
        </w:tc>
      </w:tr>
      <w:tr w:rsidR="003F350A" w:rsidRPr="003F350A" w14:paraId="0F44CF9F" w14:textId="77777777" w:rsidTr="003F350A">
        <w:tc>
          <w:tcPr>
            <w:tcW w:w="562" w:type="dxa"/>
          </w:tcPr>
          <w:p w14:paraId="4E38862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985" w:type="dxa"/>
            <w:vAlign w:val="bottom"/>
          </w:tcPr>
          <w:p w14:paraId="6393DDD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Объявление</w:t>
            </w:r>
          </w:p>
          <w:p w14:paraId="34CC8369" w14:textId="3AB35C19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предостережения</w:t>
            </w:r>
          </w:p>
        </w:tc>
        <w:tc>
          <w:tcPr>
            <w:tcW w:w="4932" w:type="dxa"/>
            <w:vAlign w:val="bottom"/>
          </w:tcPr>
          <w:p w14:paraId="24DA3155" w14:textId="77777777" w:rsidR="003F350A" w:rsidRPr="003F350A" w:rsidRDefault="003F350A" w:rsidP="003F350A">
            <w:pPr>
              <w:jc w:val="both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61A349B7" w14:textId="77777777" w:rsidR="003F350A" w:rsidRPr="003F350A" w:rsidRDefault="003F350A" w:rsidP="003F350A">
            <w:pPr>
              <w:jc w:val="both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588" w:type="dxa"/>
          </w:tcPr>
          <w:p w14:paraId="504FE86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14:paraId="2493284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3C7D37D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2AD3D2E0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1B4DB5D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3F350A" w:rsidRPr="003F350A" w14:paraId="1733A4D3" w14:textId="77777777" w:rsidTr="003F350A">
        <w:tc>
          <w:tcPr>
            <w:tcW w:w="562" w:type="dxa"/>
          </w:tcPr>
          <w:p w14:paraId="5DDDBF2E" w14:textId="77777777" w:rsidR="003F350A" w:rsidRPr="003F350A" w:rsidRDefault="003F350A" w:rsidP="003F350A">
            <w:pPr>
              <w:spacing w:line="280" w:lineRule="exact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985" w:type="dxa"/>
          </w:tcPr>
          <w:p w14:paraId="1EFC3F4D" w14:textId="77777777" w:rsidR="003F350A" w:rsidRPr="003F350A" w:rsidRDefault="003F350A" w:rsidP="003F350A">
            <w:pPr>
              <w:ind w:firstLine="5"/>
              <w:rPr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  <w:p w14:paraId="4E151C8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1AF5342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4BDF6BD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55396B4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D6526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23DC5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C89B71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2" w:type="dxa"/>
            <w:vAlign w:val="bottom"/>
          </w:tcPr>
          <w:p w14:paraId="2C0033D7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Консультирование осуществляется должностными лицами органа муниципального жилищного контроля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ED18744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Консультирование, осуществляется по следующим вопросам:</w:t>
            </w:r>
          </w:p>
          <w:p w14:paraId="673EEC1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3F4AEA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CDE587A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компетенция уполномоченного органа;</w:t>
            </w:r>
          </w:p>
          <w:p w14:paraId="48F4FF2F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порядок обжалования действий (бездействия) муниципальных инспекторов.</w:t>
            </w:r>
          </w:p>
          <w:p w14:paraId="79EE971F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Красноармейского муниципального округа  в информационно-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</w:p>
        </w:tc>
        <w:tc>
          <w:tcPr>
            <w:tcW w:w="1588" w:type="dxa"/>
          </w:tcPr>
          <w:p w14:paraId="5128736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17E0FD7C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2D692C3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36D19C8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226EFEDA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3F350A" w:rsidRPr="003F350A" w14:paraId="46D8D4EF" w14:textId="77777777" w:rsidTr="003F350A">
        <w:tc>
          <w:tcPr>
            <w:tcW w:w="562" w:type="dxa"/>
          </w:tcPr>
          <w:p w14:paraId="3346EBE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985" w:type="dxa"/>
          </w:tcPr>
          <w:p w14:paraId="42D4A7B4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</w:p>
          <w:p w14:paraId="7332735D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4932" w:type="dxa"/>
            <w:vAlign w:val="bottom"/>
          </w:tcPr>
          <w:p w14:paraId="7180A1D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6ECE3E20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79323D4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17666733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</w:t>
            </w: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рабочий день.</w:t>
            </w:r>
          </w:p>
          <w:p w14:paraId="4E91DA3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3F350A">
              <w:rPr>
                <w:rFonts w:ascii="Times New Roman" w:hAnsi="Times New Roman" w:cs="Times New Roman"/>
                <w:color w:val="000000"/>
              </w:rPr>
              <w:softHyphen/>
            </w:r>
            <w:proofErr w:type="gramStart"/>
            <w:r w:rsidRPr="003F350A">
              <w:rPr>
                <w:rFonts w:ascii="Times New Roman" w:hAnsi="Times New Roman" w:cs="Times New Roman"/>
                <w:color w:val="000000"/>
              </w:rPr>
              <w:t>конференц-связи</w:t>
            </w:r>
            <w:proofErr w:type="gramEnd"/>
            <w:r w:rsidRPr="003F350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C6DE6F2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F419FC4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14:paraId="039AF17B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14:paraId="6A2EB5E7" w14:textId="77777777" w:rsidR="003F350A" w:rsidRPr="003F350A" w:rsidRDefault="003F350A" w:rsidP="003F35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рекомендательный характер.</w:t>
            </w:r>
          </w:p>
        </w:tc>
        <w:tc>
          <w:tcPr>
            <w:tcW w:w="1588" w:type="dxa"/>
          </w:tcPr>
          <w:p w14:paraId="1D053DEE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14:paraId="6D259339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14:paraId="558DE1A6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земельного</w:t>
            </w:r>
          </w:p>
          <w:p w14:paraId="3F16858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935" w:type="dxa"/>
          </w:tcPr>
          <w:p w14:paraId="5E0D7F48" w14:textId="77777777" w:rsidR="003F350A" w:rsidRPr="003F350A" w:rsidRDefault="003F350A" w:rsidP="003F350A">
            <w:pPr>
              <w:rPr>
                <w:rFonts w:ascii="Times New Roman" w:hAnsi="Times New Roman" w:cs="Times New Roman"/>
                <w:color w:val="000000"/>
              </w:rPr>
            </w:pPr>
            <w:r w:rsidRPr="003F350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</w:tbl>
    <w:p w14:paraId="076D9E42" w14:textId="77777777" w:rsidR="003F350A" w:rsidRPr="003F350A" w:rsidRDefault="003F350A" w:rsidP="003F35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14:paraId="64885D0A" w14:textId="77777777" w:rsidR="003F350A" w:rsidRDefault="003F350A" w:rsidP="003F350A">
      <w:pPr>
        <w:pStyle w:val="50"/>
        <w:shd w:val="clear" w:color="auto" w:fill="auto"/>
        <w:ind w:left="-426" w:right="16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F454DA2" w14:textId="77777777" w:rsidR="003F350A" w:rsidRDefault="003F350A" w:rsidP="00BE348A">
      <w:pPr>
        <w:pStyle w:val="50"/>
        <w:shd w:val="clear" w:color="auto" w:fill="auto"/>
        <w:ind w:right="16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D048BB2" w14:textId="4DE5FA9F" w:rsidR="004B2220" w:rsidRPr="002B1C46" w:rsidRDefault="00867653" w:rsidP="003F350A">
      <w:pPr>
        <w:pStyle w:val="50"/>
        <w:shd w:val="clear" w:color="auto" w:fill="auto"/>
        <w:ind w:right="160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sectPr w:rsidR="004B2220" w:rsidRPr="002B1C46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EE49" w14:textId="77777777" w:rsidR="00214882" w:rsidRDefault="00214882" w:rsidP="005F5651">
      <w:pPr>
        <w:spacing w:after="0" w:line="240" w:lineRule="auto"/>
      </w:pPr>
      <w:r>
        <w:separator/>
      </w:r>
    </w:p>
  </w:endnote>
  <w:endnote w:type="continuationSeparator" w:id="0">
    <w:p w14:paraId="73A58F49" w14:textId="77777777" w:rsidR="00214882" w:rsidRDefault="00214882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1AF2" w14:textId="77777777" w:rsidR="00214882" w:rsidRDefault="00214882" w:rsidP="005F5651">
      <w:pPr>
        <w:spacing w:after="0" w:line="240" w:lineRule="auto"/>
      </w:pPr>
      <w:r>
        <w:separator/>
      </w:r>
    </w:p>
  </w:footnote>
  <w:footnote w:type="continuationSeparator" w:id="0">
    <w:p w14:paraId="0807C18D" w14:textId="77777777" w:rsidR="00214882" w:rsidRDefault="00214882" w:rsidP="005F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53"/>
    <w:rsid w:val="00041180"/>
    <w:rsid w:val="000A668A"/>
    <w:rsid w:val="00180AA5"/>
    <w:rsid w:val="001E120D"/>
    <w:rsid w:val="001F2A9D"/>
    <w:rsid w:val="00210717"/>
    <w:rsid w:val="00214882"/>
    <w:rsid w:val="002206B1"/>
    <w:rsid w:val="0024511C"/>
    <w:rsid w:val="00265359"/>
    <w:rsid w:val="00282B54"/>
    <w:rsid w:val="002B1C46"/>
    <w:rsid w:val="002C00DE"/>
    <w:rsid w:val="002D631F"/>
    <w:rsid w:val="002F78B5"/>
    <w:rsid w:val="00345389"/>
    <w:rsid w:val="00346FAE"/>
    <w:rsid w:val="00386D2A"/>
    <w:rsid w:val="003D612C"/>
    <w:rsid w:val="003E6A7B"/>
    <w:rsid w:val="003F350A"/>
    <w:rsid w:val="003F4F90"/>
    <w:rsid w:val="0040234B"/>
    <w:rsid w:val="004158C2"/>
    <w:rsid w:val="00444344"/>
    <w:rsid w:val="0044648D"/>
    <w:rsid w:val="00447068"/>
    <w:rsid w:val="004661D5"/>
    <w:rsid w:val="004717D8"/>
    <w:rsid w:val="00480A6D"/>
    <w:rsid w:val="004B2220"/>
    <w:rsid w:val="005311DB"/>
    <w:rsid w:val="00593E0E"/>
    <w:rsid w:val="005E27D3"/>
    <w:rsid w:val="005F5651"/>
    <w:rsid w:val="006D33C9"/>
    <w:rsid w:val="006E18B5"/>
    <w:rsid w:val="006E1C80"/>
    <w:rsid w:val="007814A1"/>
    <w:rsid w:val="007E0AC0"/>
    <w:rsid w:val="00807DDA"/>
    <w:rsid w:val="00867653"/>
    <w:rsid w:val="008974A1"/>
    <w:rsid w:val="008E5B75"/>
    <w:rsid w:val="0090644F"/>
    <w:rsid w:val="00913625"/>
    <w:rsid w:val="009B13A0"/>
    <w:rsid w:val="00A1499D"/>
    <w:rsid w:val="00A14AFE"/>
    <w:rsid w:val="00A306A0"/>
    <w:rsid w:val="00A75D31"/>
    <w:rsid w:val="00A77303"/>
    <w:rsid w:val="00AB7DDA"/>
    <w:rsid w:val="00AD0F41"/>
    <w:rsid w:val="00B74581"/>
    <w:rsid w:val="00B8618E"/>
    <w:rsid w:val="00BA290B"/>
    <w:rsid w:val="00BD76E3"/>
    <w:rsid w:val="00BE348A"/>
    <w:rsid w:val="00C20636"/>
    <w:rsid w:val="00C2092B"/>
    <w:rsid w:val="00D11280"/>
    <w:rsid w:val="00D31242"/>
    <w:rsid w:val="00D412DD"/>
    <w:rsid w:val="00D42060"/>
    <w:rsid w:val="00DD4CED"/>
    <w:rsid w:val="00E91313"/>
    <w:rsid w:val="00E957EB"/>
    <w:rsid w:val="00E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2BD2"/>
  <w15:docId w15:val="{067F49B9-0BE8-43F7-ADFF-A42FF689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651"/>
  </w:style>
  <w:style w:type="paragraph" w:styleId="a7">
    <w:name w:val="footer"/>
    <w:basedOn w:val="a"/>
    <w:link w:val="a8"/>
    <w:uiPriority w:val="99"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651"/>
  </w:style>
  <w:style w:type="paragraph" w:styleId="a9">
    <w:name w:val="Balloon Text"/>
    <w:basedOn w:val="a"/>
    <w:link w:val="aa"/>
    <w:uiPriority w:val="99"/>
    <w:semiHidden/>
    <w:unhideWhenUsed/>
    <w:rsid w:val="0040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4B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rsid w:val="00BE348A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348A"/>
    <w:pPr>
      <w:widowControl w:val="0"/>
      <w:shd w:val="clear" w:color="auto" w:fill="FFFFFF"/>
      <w:spacing w:after="0"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table" w:styleId="ab">
    <w:name w:val="Table Grid"/>
    <w:basedOn w:val="a1"/>
    <w:uiPriority w:val="39"/>
    <w:rsid w:val="00BE348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F35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chet-oks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3E9E-76B3-4D38-8F42-03D5BC7B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Алена Прокопьева</cp:lastModifiedBy>
  <cp:revision>12</cp:revision>
  <cp:lastPrinted>2021-10-29T12:06:00Z</cp:lastPrinted>
  <dcterms:created xsi:type="dcterms:W3CDTF">2021-10-22T11:10:00Z</dcterms:created>
  <dcterms:modified xsi:type="dcterms:W3CDTF">2021-10-29T12:08:00Z</dcterms:modified>
</cp:coreProperties>
</file>