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A8" w:rsidRPr="00CF5805" w:rsidRDefault="00EB3FA8" w:rsidP="00CC7575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CF5805">
        <w:rPr>
          <w:rFonts w:ascii="Times New Roman" w:hAnsi="Times New Roman"/>
          <w:sz w:val="26"/>
          <w:szCs w:val="26"/>
        </w:rPr>
        <w:t xml:space="preserve">Приложение № </w:t>
      </w:r>
      <w:r w:rsidR="001A09B4">
        <w:rPr>
          <w:rFonts w:ascii="Times New Roman" w:hAnsi="Times New Roman"/>
          <w:sz w:val="26"/>
          <w:szCs w:val="26"/>
        </w:rPr>
        <w:t>1</w:t>
      </w:r>
    </w:p>
    <w:p w:rsidR="00EB3FA8" w:rsidRPr="00CF5805" w:rsidRDefault="00EB3FA8" w:rsidP="00CC7575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CF5805">
        <w:rPr>
          <w:rFonts w:ascii="Times New Roman" w:hAnsi="Times New Roman"/>
          <w:sz w:val="26"/>
          <w:szCs w:val="26"/>
        </w:rPr>
        <w:t>к Указу Главы</w:t>
      </w:r>
    </w:p>
    <w:p w:rsidR="00EB3FA8" w:rsidRPr="00CF5805" w:rsidRDefault="00EB3FA8" w:rsidP="00CC7575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CF5805">
        <w:rPr>
          <w:rFonts w:ascii="Times New Roman" w:hAnsi="Times New Roman"/>
          <w:sz w:val="26"/>
          <w:szCs w:val="26"/>
        </w:rPr>
        <w:t>Чувашской Республики</w:t>
      </w:r>
    </w:p>
    <w:p w:rsidR="00EB3FA8" w:rsidRPr="00FA0FB8" w:rsidRDefault="000B3BE8" w:rsidP="00CC7575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rPr>
          <w:rFonts w:ascii="Times New Roman" w:hAnsi="Times New Roman"/>
          <w:sz w:val="26"/>
          <w:szCs w:val="26"/>
        </w:rPr>
      </w:pPr>
      <w:r w:rsidRPr="00CC7575">
        <w:rPr>
          <w:rFonts w:ascii="Times New Roman" w:hAnsi="Times New Roman"/>
          <w:sz w:val="26"/>
          <w:szCs w:val="26"/>
        </w:rPr>
        <w:t xml:space="preserve">      </w:t>
      </w:r>
      <w:r w:rsidR="00EB3FA8">
        <w:rPr>
          <w:rFonts w:ascii="Times New Roman" w:hAnsi="Times New Roman"/>
          <w:sz w:val="26"/>
          <w:szCs w:val="26"/>
        </w:rPr>
        <w:t>о</w:t>
      </w:r>
      <w:r w:rsidR="00EB3FA8" w:rsidRPr="00CF5805">
        <w:rPr>
          <w:rFonts w:ascii="Times New Roman" w:hAnsi="Times New Roman"/>
          <w:sz w:val="26"/>
          <w:szCs w:val="26"/>
        </w:rPr>
        <w:t>т</w:t>
      </w:r>
    </w:p>
    <w:p w:rsidR="00EB3FA8" w:rsidRPr="00CC7575" w:rsidRDefault="00EB3FA8" w:rsidP="00CC7575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FB65E5" w:rsidRPr="00CF5805" w:rsidRDefault="00FB65E5" w:rsidP="00FB65E5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CF5805">
        <w:rPr>
          <w:rFonts w:ascii="Times New Roman" w:hAnsi="Times New Roman"/>
          <w:sz w:val="26"/>
          <w:szCs w:val="26"/>
        </w:rPr>
        <w:t>УТВЕРЖДЕНЫ</w:t>
      </w:r>
    </w:p>
    <w:p w:rsidR="00FB65E5" w:rsidRPr="00CF5805" w:rsidRDefault="00FB65E5" w:rsidP="00FB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CF5805">
        <w:rPr>
          <w:rFonts w:ascii="Times New Roman" w:hAnsi="Times New Roman"/>
          <w:sz w:val="26"/>
          <w:szCs w:val="26"/>
        </w:rPr>
        <w:t>Указом Главы</w:t>
      </w:r>
    </w:p>
    <w:p w:rsidR="00FB65E5" w:rsidRPr="00CF5805" w:rsidRDefault="00FB65E5" w:rsidP="00FB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CF5805">
        <w:rPr>
          <w:rFonts w:ascii="Times New Roman" w:hAnsi="Times New Roman"/>
          <w:sz w:val="26"/>
          <w:szCs w:val="26"/>
        </w:rPr>
        <w:t>Чувашской Республики</w:t>
      </w:r>
    </w:p>
    <w:p w:rsidR="00FB65E5" w:rsidRPr="00CF5805" w:rsidRDefault="00FB65E5" w:rsidP="00FB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CF580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15.12.2018</w:t>
      </w:r>
      <w:r w:rsidRPr="00CF580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149</w:t>
      </w:r>
    </w:p>
    <w:p w:rsidR="00FB65E5" w:rsidRPr="00CF5805" w:rsidRDefault="00FB65E5" w:rsidP="00FB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FB65E5" w:rsidRPr="00CF5805" w:rsidRDefault="00FB65E5" w:rsidP="00FB65E5">
      <w:pPr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CF5805">
        <w:rPr>
          <w:rFonts w:ascii="Times New Roman" w:hAnsi="Times New Roman"/>
          <w:sz w:val="26"/>
          <w:szCs w:val="26"/>
        </w:rPr>
        <w:t>(приложение № 1)</w:t>
      </w:r>
    </w:p>
    <w:p w:rsidR="000B3BE8" w:rsidRPr="00CC7575" w:rsidRDefault="000B3BE8" w:rsidP="00CC7575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5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26171D" w:rsidRPr="00CF5805" w:rsidRDefault="0026171D" w:rsidP="00CC7575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bookmarkStart w:id="0" w:name="Par37"/>
      <w:bookmarkEnd w:id="0"/>
    </w:p>
    <w:p w:rsidR="00A121DB" w:rsidRPr="00CC7575" w:rsidRDefault="00A121DB" w:rsidP="00CC7575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0B3BE8" w:rsidRPr="00CC7575" w:rsidRDefault="000B3BE8" w:rsidP="00CC7575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121DB" w:rsidRPr="00CF5805" w:rsidRDefault="006A3D71" w:rsidP="00CC7575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CF5805">
        <w:rPr>
          <w:rFonts w:ascii="Times New Roman" w:hAnsi="Times New Roman"/>
          <w:b/>
          <w:caps/>
          <w:sz w:val="26"/>
          <w:szCs w:val="26"/>
        </w:rPr>
        <w:t>Предельные</w:t>
      </w:r>
      <w:r w:rsidR="00A121DB" w:rsidRPr="00CF5805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CF5805">
        <w:rPr>
          <w:rFonts w:ascii="Times New Roman" w:hAnsi="Times New Roman"/>
          <w:b/>
          <w:caps/>
          <w:sz w:val="26"/>
          <w:szCs w:val="26"/>
        </w:rPr>
        <w:t>(максимальные)</w:t>
      </w:r>
      <w:r w:rsidR="00A121DB" w:rsidRPr="00CF5805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CF5805">
        <w:rPr>
          <w:rFonts w:ascii="Times New Roman" w:hAnsi="Times New Roman"/>
          <w:b/>
          <w:caps/>
          <w:sz w:val="26"/>
          <w:szCs w:val="26"/>
        </w:rPr>
        <w:t>индексы</w:t>
      </w:r>
      <w:r w:rsidR="00A121DB" w:rsidRPr="00CF5805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A121DB" w:rsidRPr="00CF5805" w:rsidRDefault="006A3D71" w:rsidP="00CC7575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6"/>
          <w:szCs w:val="26"/>
        </w:rPr>
      </w:pPr>
      <w:r w:rsidRPr="00CF5805">
        <w:rPr>
          <w:rFonts w:ascii="Times New Roman" w:hAnsi="Times New Roman"/>
          <w:b/>
          <w:sz w:val="26"/>
          <w:szCs w:val="26"/>
        </w:rPr>
        <w:t>изменения</w:t>
      </w:r>
      <w:r w:rsidR="00A121DB" w:rsidRPr="00CF5805">
        <w:rPr>
          <w:rFonts w:ascii="Times New Roman" w:hAnsi="Times New Roman"/>
          <w:b/>
          <w:sz w:val="26"/>
          <w:szCs w:val="26"/>
        </w:rPr>
        <w:t xml:space="preserve"> </w:t>
      </w:r>
      <w:r w:rsidRPr="00CF5805">
        <w:rPr>
          <w:rFonts w:ascii="Times New Roman" w:hAnsi="Times New Roman"/>
          <w:b/>
          <w:sz w:val="26"/>
          <w:szCs w:val="26"/>
        </w:rPr>
        <w:t>размера</w:t>
      </w:r>
      <w:r w:rsidR="00A121DB" w:rsidRPr="00CF5805">
        <w:rPr>
          <w:rFonts w:ascii="Times New Roman" w:hAnsi="Times New Roman"/>
          <w:b/>
          <w:sz w:val="26"/>
          <w:szCs w:val="26"/>
        </w:rPr>
        <w:t xml:space="preserve"> </w:t>
      </w:r>
      <w:r w:rsidRPr="00CF5805">
        <w:rPr>
          <w:rFonts w:ascii="Times New Roman" w:hAnsi="Times New Roman"/>
          <w:b/>
          <w:sz w:val="26"/>
          <w:szCs w:val="26"/>
        </w:rPr>
        <w:t>вносимой</w:t>
      </w:r>
      <w:r w:rsidR="00A121DB" w:rsidRPr="00CF5805">
        <w:rPr>
          <w:rFonts w:ascii="Times New Roman" w:hAnsi="Times New Roman"/>
          <w:b/>
          <w:sz w:val="26"/>
          <w:szCs w:val="26"/>
        </w:rPr>
        <w:t xml:space="preserve"> </w:t>
      </w:r>
      <w:r w:rsidRPr="00CF5805">
        <w:rPr>
          <w:rFonts w:ascii="Times New Roman" w:hAnsi="Times New Roman"/>
          <w:b/>
          <w:sz w:val="26"/>
          <w:szCs w:val="26"/>
        </w:rPr>
        <w:t>гражданами</w:t>
      </w:r>
      <w:r w:rsidR="00A121DB" w:rsidRPr="00CF5805">
        <w:rPr>
          <w:rFonts w:ascii="Times New Roman" w:hAnsi="Times New Roman"/>
          <w:b/>
          <w:sz w:val="26"/>
          <w:szCs w:val="26"/>
        </w:rPr>
        <w:t xml:space="preserve"> </w:t>
      </w:r>
      <w:r w:rsidRPr="00CF5805">
        <w:rPr>
          <w:rFonts w:ascii="Times New Roman" w:hAnsi="Times New Roman"/>
          <w:b/>
          <w:sz w:val="26"/>
          <w:szCs w:val="26"/>
        </w:rPr>
        <w:t>платы</w:t>
      </w:r>
      <w:r w:rsidR="00A121DB" w:rsidRPr="00CF5805">
        <w:rPr>
          <w:rFonts w:ascii="Times New Roman" w:hAnsi="Times New Roman"/>
          <w:b/>
          <w:sz w:val="26"/>
          <w:szCs w:val="26"/>
        </w:rPr>
        <w:t xml:space="preserve"> </w:t>
      </w:r>
      <w:r w:rsidRPr="00CF5805">
        <w:rPr>
          <w:rFonts w:ascii="Times New Roman" w:hAnsi="Times New Roman"/>
          <w:b/>
          <w:sz w:val="26"/>
          <w:szCs w:val="26"/>
        </w:rPr>
        <w:t>за</w:t>
      </w:r>
      <w:r w:rsidR="00A121DB" w:rsidRPr="00CF5805">
        <w:rPr>
          <w:rFonts w:ascii="Times New Roman" w:hAnsi="Times New Roman"/>
          <w:b/>
          <w:sz w:val="26"/>
          <w:szCs w:val="26"/>
        </w:rPr>
        <w:t xml:space="preserve"> </w:t>
      </w:r>
      <w:r w:rsidRPr="00CF5805">
        <w:rPr>
          <w:rFonts w:ascii="Times New Roman" w:hAnsi="Times New Roman"/>
          <w:b/>
          <w:sz w:val="26"/>
          <w:szCs w:val="26"/>
        </w:rPr>
        <w:t>коммунальные</w:t>
      </w:r>
      <w:r w:rsidR="00A121DB" w:rsidRPr="00CF5805">
        <w:rPr>
          <w:rFonts w:ascii="Times New Roman" w:hAnsi="Times New Roman"/>
          <w:b/>
          <w:sz w:val="26"/>
          <w:szCs w:val="26"/>
        </w:rPr>
        <w:t xml:space="preserve"> </w:t>
      </w:r>
      <w:r w:rsidRPr="00CF5805">
        <w:rPr>
          <w:rFonts w:ascii="Times New Roman" w:hAnsi="Times New Roman"/>
          <w:b/>
          <w:sz w:val="26"/>
          <w:szCs w:val="26"/>
        </w:rPr>
        <w:t>услуги</w:t>
      </w:r>
      <w:r w:rsidR="00A121DB" w:rsidRPr="00CF5805">
        <w:rPr>
          <w:rFonts w:ascii="Times New Roman" w:hAnsi="Times New Roman"/>
          <w:b/>
          <w:sz w:val="26"/>
          <w:szCs w:val="26"/>
        </w:rPr>
        <w:t xml:space="preserve"> </w:t>
      </w:r>
    </w:p>
    <w:p w:rsidR="006A3D71" w:rsidRPr="00CF5805" w:rsidRDefault="006A3D71" w:rsidP="00CC7575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6"/>
          <w:szCs w:val="26"/>
        </w:rPr>
      </w:pPr>
      <w:r w:rsidRPr="00CF5805">
        <w:rPr>
          <w:rFonts w:ascii="Times New Roman" w:hAnsi="Times New Roman"/>
          <w:b/>
          <w:sz w:val="26"/>
          <w:szCs w:val="26"/>
        </w:rPr>
        <w:t>в</w:t>
      </w:r>
      <w:r w:rsidR="00A121DB" w:rsidRPr="00CF5805">
        <w:rPr>
          <w:rFonts w:ascii="Times New Roman" w:hAnsi="Times New Roman"/>
          <w:b/>
          <w:sz w:val="26"/>
          <w:szCs w:val="26"/>
        </w:rPr>
        <w:t xml:space="preserve"> </w:t>
      </w:r>
      <w:r w:rsidRPr="00CF5805">
        <w:rPr>
          <w:rFonts w:ascii="Times New Roman" w:hAnsi="Times New Roman"/>
          <w:b/>
          <w:sz w:val="26"/>
          <w:szCs w:val="26"/>
        </w:rPr>
        <w:t>муниципальных</w:t>
      </w:r>
      <w:r w:rsidR="00A121DB" w:rsidRPr="00CF5805">
        <w:rPr>
          <w:rFonts w:ascii="Times New Roman" w:hAnsi="Times New Roman"/>
          <w:b/>
          <w:sz w:val="26"/>
          <w:szCs w:val="26"/>
        </w:rPr>
        <w:t xml:space="preserve"> </w:t>
      </w:r>
      <w:r w:rsidRPr="00CF5805">
        <w:rPr>
          <w:rFonts w:ascii="Times New Roman" w:hAnsi="Times New Roman"/>
          <w:b/>
          <w:sz w:val="26"/>
          <w:szCs w:val="26"/>
        </w:rPr>
        <w:t>образованиях</w:t>
      </w:r>
      <w:r w:rsidR="00A121DB" w:rsidRPr="00CF5805">
        <w:rPr>
          <w:rFonts w:ascii="Times New Roman" w:hAnsi="Times New Roman"/>
          <w:b/>
          <w:sz w:val="26"/>
          <w:szCs w:val="26"/>
        </w:rPr>
        <w:t xml:space="preserve"> </w:t>
      </w:r>
      <w:r w:rsidRPr="00CF5805">
        <w:rPr>
          <w:rFonts w:ascii="Times New Roman" w:hAnsi="Times New Roman"/>
          <w:b/>
          <w:sz w:val="26"/>
          <w:szCs w:val="26"/>
        </w:rPr>
        <w:t>Чувашской</w:t>
      </w:r>
      <w:r w:rsidR="00A121DB" w:rsidRPr="00CF5805">
        <w:rPr>
          <w:rFonts w:ascii="Times New Roman" w:hAnsi="Times New Roman"/>
          <w:b/>
          <w:sz w:val="26"/>
          <w:szCs w:val="26"/>
        </w:rPr>
        <w:t xml:space="preserve"> </w:t>
      </w:r>
      <w:r w:rsidRPr="00CF5805">
        <w:rPr>
          <w:rFonts w:ascii="Times New Roman" w:hAnsi="Times New Roman"/>
          <w:b/>
          <w:sz w:val="26"/>
          <w:szCs w:val="26"/>
        </w:rPr>
        <w:t>Республики</w:t>
      </w:r>
      <w:r w:rsidR="00A121DB" w:rsidRPr="00CF5805">
        <w:rPr>
          <w:rFonts w:ascii="Times New Roman" w:hAnsi="Times New Roman"/>
          <w:b/>
          <w:sz w:val="26"/>
          <w:szCs w:val="26"/>
        </w:rPr>
        <w:t xml:space="preserve"> </w:t>
      </w:r>
    </w:p>
    <w:p w:rsidR="00273277" w:rsidRPr="00CF5805" w:rsidRDefault="00761C7F" w:rsidP="00CC7575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6"/>
          <w:szCs w:val="26"/>
        </w:rPr>
      </w:pPr>
      <w:r w:rsidRPr="00CF5805">
        <w:rPr>
          <w:rFonts w:ascii="Times New Roman" w:hAnsi="Times New Roman"/>
          <w:b/>
          <w:sz w:val="26"/>
          <w:szCs w:val="26"/>
        </w:rPr>
        <w:t xml:space="preserve">на </w:t>
      </w:r>
      <w:r w:rsidR="0022203D">
        <w:rPr>
          <w:rFonts w:ascii="Times New Roman" w:hAnsi="Times New Roman"/>
          <w:b/>
          <w:sz w:val="26"/>
          <w:szCs w:val="26"/>
        </w:rPr>
        <w:t xml:space="preserve">декабрь </w:t>
      </w:r>
      <w:r w:rsidR="00233685">
        <w:rPr>
          <w:rFonts w:ascii="Times New Roman" w:hAnsi="Times New Roman"/>
          <w:b/>
          <w:sz w:val="26"/>
          <w:szCs w:val="26"/>
        </w:rPr>
        <w:t>2022</w:t>
      </w:r>
      <w:r w:rsidR="0022203D">
        <w:rPr>
          <w:rFonts w:ascii="Times New Roman" w:hAnsi="Times New Roman"/>
          <w:b/>
          <w:sz w:val="26"/>
          <w:szCs w:val="26"/>
        </w:rPr>
        <w:t xml:space="preserve"> года и на </w:t>
      </w:r>
      <w:r w:rsidR="002E4C91">
        <w:rPr>
          <w:rFonts w:ascii="Times New Roman" w:hAnsi="Times New Roman"/>
          <w:b/>
          <w:sz w:val="26"/>
          <w:szCs w:val="26"/>
        </w:rPr>
        <w:t>2023</w:t>
      </w:r>
      <w:r w:rsidR="00B22BF8">
        <w:rPr>
          <w:rFonts w:ascii="Times New Roman" w:hAnsi="Times New Roman"/>
          <w:b/>
          <w:sz w:val="26"/>
          <w:szCs w:val="26"/>
        </w:rPr>
        <w:t xml:space="preserve"> </w:t>
      </w:r>
      <w:r w:rsidRPr="006B0C2E">
        <w:rPr>
          <w:rFonts w:ascii="Times New Roman" w:hAnsi="Times New Roman"/>
          <w:b/>
          <w:sz w:val="26"/>
          <w:szCs w:val="26"/>
        </w:rPr>
        <w:t>год</w:t>
      </w:r>
    </w:p>
    <w:p w:rsidR="00A121DB" w:rsidRDefault="00A121DB" w:rsidP="00CC7575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0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694"/>
        <w:gridCol w:w="993"/>
        <w:gridCol w:w="1983"/>
        <w:gridCol w:w="2977"/>
      </w:tblGrid>
      <w:tr w:rsidR="000D7CB1" w:rsidRPr="00CF5805" w:rsidTr="000D7CB1"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0D7CB1" w:rsidRPr="00CF5805" w:rsidRDefault="000D7CB1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F5805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0D7CB1" w:rsidRPr="00CF5805" w:rsidRDefault="000D7CB1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F5805">
              <w:rPr>
                <w:rFonts w:ascii="Times New Roman" w:hAnsi="Times New Roman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7CB1" w:rsidRPr="00CF5805" w:rsidRDefault="000D7CB1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8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Муниципальное </w:t>
            </w:r>
          </w:p>
          <w:p w:rsidR="000D7CB1" w:rsidRPr="00CF5805" w:rsidRDefault="000D7CB1" w:rsidP="00CC7575">
            <w:pPr>
              <w:tabs>
                <w:tab w:val="left" w:pos="3885"/>
              </w:tabs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805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7CB1" w:rsidRPr="00CF5805" w:rsidRDefault="000D7CB1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805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98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D7CB1" w:rsidRDefault="000D7CB1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D7CB1" w:rsidRPr="00CF5805" w:rsidRDefault="000D7CB1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805">
              <w:rPr>
                <w:rFonts w:ascii="Times New Roman" w:hAnsi="Times New Roman"/>
                <w:color w:val="000000"/>
                <w:sz w:val="26"/>
                <w:szCs w:val="26"/>
              </w:rPr>
              <w:t>Предельные индексы (процентов)</w:t>
            </w:r>
          </w:p>
        </w:tc>
      </w:tr>
      <w:tr w:rsidR="00273277" w:rsidRPr="00CF5805" w:rsidTr="000D7CB1">
        <w:tc>
          <w:tcPr>
            <w:tcW w:w="855" w:type="dxa"/>
            <w:vMerge/>
            <w:tcBorders>
              <w:left w:val="nil"/>
              <w:bottom w:val="nil"/>
            </w:tcBorders>
            <w:shd w:val="clear" w:color="auto" w:fill="auto"/>
            <w:noWrap/>
          </w:tcPr>
          <w:p w:rsidR="00273277" w:rsidRPr="00CF5805" w:rsidRDefault="00273277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273277" w:rsidRPr="00CF5805" w:rsidRDefault="00273277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273277" w:rsidRPr="00CF5805" w:rsidRDefault="00273277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tcBorders>
              <w:bottom w:val="nil"/>
            </w:tcBorders>
            <w:shd w:val="clear" w:color="auto" w:fill="auto"/>
          </w:tcPr>
          <w:p w:rsidR="00273277" w:rsidRPr="00CF5805" w:rsidRDefault="00273277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805">
              <w:rPr>
                <w:rFonts w:ascii="Times New Roman" w:hAnsi="Times New Roman"/>
                <w:color w:val="000000"/>
                <w:sz w:val="26"/>
                <w:szCs w:val="26"/>
              </w:rPr>
              <w:t>период</w:t>
            </w:r>
          </w:p>
        </w:tc>
        <w:tc>
          <w:tcPr>
            <w:tcW w:w="2977" w:type="dxa"/>
            <w:tcBorders>
              <w:bottom w:val="nil"/>
              <w:right w:val="nil"/>
            </w:tcBorders>
            <w:shd w:val="clear" w:color="auto" w:fill="auto"/>
          </w:tcPr>
          <w:p w:rsidR="00273277" w:rsidRPr="00CF5805" w:rsidRDefault="00273277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5805">
              <w:rPr>
                <w:rFonts w:ascii="Times New Roman" w:hAnsi="Times New Roman"/>
                <w:color w:val="000000"/>
                <w:sz w:val="26"/>
                <w:szCs w:val="26"/>
              </w:rPr>
              <w:t>значение</w:t>
            </w:r>
          </w:p>
        </w:tc>
      </w:tr>
    </w:tbl>
    <w:p w:rsidR="006A3D71" w:rsidRPr="00CF5805" w:rsidRDefault="006A3D71" w:rsidP="00CC7575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993"/>
        <w:gridCol w:w="1983"/>
        <w:gridCol w:w="2977"/>
      </w:tblGrid>
      <w:tr w:rsidR="006A5798" w:rsidRPr="00CF5805" w:rsidTr="000D7CB1">
        <w:trPr>
          <w:tblHeader/>
        </w:trPr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A5798" w:rsidRPr="00CC7575" w:rsidRDefault="006A5798" w:rsidP="00CC7575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5798" w:rsidRPr="00CC7575" w:rsidRDefault="006A5798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5798" w:rsidRPr="00CC7575" w:rsidRDefault="006A5798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3" w:type="dxa"/>
            <w:tcBorders>
              <w:right w:val="nil"/>
            </w:tcBorders>
            <w:shd w:val="clear" w:color="auto" w:fill="auto"/>
            <w:vAlign w:val="center"/>
          </w:tcPr>
          <w:p w:rsidR="006A5798" w:rsidRPr="00CC7575" w:rsidRDefault="006A5798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6A5798" w:rsidRPr="00CC7575" w:rsidRDefault="00FD31D4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C757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561F7B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561F7B" w:rsidRPr="00FC0D60" w:rsidRDefault="00561F7B" w:rsidP="00FC0D60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C0D6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61F7B" w:rsidRPr="00CC7575" w:rsidRDefault="00FC0D60" w:rsidP="0015471D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Алатырский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мун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ципальный 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1F7B" w:rsidRPr="00CC7575" w:rsidRDefault="000D7CB1" w:rsidP="00BA72C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561F7B" w:rsidRPr="00CC7575" w:rsidRDefault="00916E2C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561F7B" w:rsidRPr="00CC7575" w:rsidRDefault="000D7CB1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561F7B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561F7B" w:rsidRPr="00FC0D60" w:rsidRDefault="00561F7B" w:rsidP="00CC7575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561F7B" w:rsidRPr="00CC7575" w:rsidRDefault="00561F7B" w:rsidP="00CC7575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1F7B" w:rsidRPr="00CC7575" w:rsidRDefault="000D7CB1" w:rsidP="00CC7575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1F7B" w:rsidRPr="00CC7575" w:rsidRDefault="000D7CB1" w:rsidP="00CC757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F7B" w:rsidRPr="00CC7575" w:rsidRDefault="000D7CB1" w:rsidP="00CC757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FC0D60" w:rsidRDefault="00744CB2" w:rsidP="00FC0D6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C0D6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Аликовский</w:t>
            </w:r>
            <w:proofErr w:type="spellEnd"/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мун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ципальный 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FC0D60" w:rsidRDefault="00744CB2" w:rsidP="00EA57C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EA57C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FC0D60" w:rsidRDefault="00744CB2" w:rsidP="00EA57C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C0D6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Батыревский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м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ниципальный 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FC0D60" w:rsidRDefault="00744CB2" w:rsidP="00EA57C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EA57C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FC0D60" w:rsidRDefault="00744CB2" w:rsidP="00FC0D6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C0D6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Вурнарский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мун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ципальный</w:t>
            </w:r>
            <w:r w:rsidR="001A09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EA57C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EA57C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5B4C13" w:rsidRDefault="00744CB2" w:rsidP="00CC7575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B4C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Ибресинский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мун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ципальный</w:t>
            </w:r>
            <w:r w:rsidR="001A09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CC7575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CC7575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5B4C13" w:rsidRDefault="00744CB2" w:rsidP="005B4C13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B4C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Канашский</w:t>
            </w:r>
            <w:proofErr w:type="spellEnd"/>
            <w:r w:rsidR="0015471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мун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ципальный 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46EF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EA57C0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EA57C0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5B4C13" w:rsidRDefault="00744CB2" w:rsidP="005B4C13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B4C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Козловский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мун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ципальный 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A75CAF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A75CAF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5B4C13" w:rsidRDefault="00744CB2" w:rsidP="005B4C13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B4C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Комсомольский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муниципальный 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A75CAF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A75CAF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EF296E" w:rsidRDefault="00744CB2" w:rsidP="00EF296E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F296E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9</w:t>
            </w:r>
            <w:r w:rsidRPr="00EF296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A75CAF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Красноармейский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A75CAF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A75CAF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2E4C91" w:rsidRDefault="00744CB2" w:rsidP="002E4C91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E4C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Красно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четайский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A75CAF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A75CAF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2E4C91" w:rsidRDefault="00744CB2" w:rsidP="002E4C91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E4C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Мариинско-Посадский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муниц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пальный 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A75CAF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A75CAF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2E4C91" w:rsidRDefault="00744CB2" w:rsidP="00A75CAF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E4C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Моргаушский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ниципальный </w:t>
            </w:r>
            <w:r w:rsidR="001A09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A75CAF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A75CAF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2E4C91" w:rsidRDefault="00744CB2" w:rsidP="00A75CAF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E4C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Порецкий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муниц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пальный </w:t>
            </w:r>
            <w:r w:rsidR="001A09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A75CAF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A75CAF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2E4C91" w:rsidRDefault="00744CB2" w:rsidP="00A75CAF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E4C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Урмарский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муниц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пальный </w:t>
            </w:r>
            <w:r w:rsidR="001A09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A75CAF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A75CAF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2E4C91" w:rsidRDefault="00744CB2" w:rsidP="00A75CAF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E4C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Цивильский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мун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ципальный </w:t>
            </w:r>
            <w:r w:rsidR="001A09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2E4C91" w:rsidRDefault="00744CB2" w:rsidP="00A75CAF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A75CAF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F15C49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2E4C91" w:rsidRDefault="00744CB2" w:rsidP="00CC7575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E4C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Чебоксарский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ниципальный </w:t>
            </w:r>
            <w:r w:rsidR="001A09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417500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46EF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</w:tr>
      <w:tr w:rsidR="00744CB2" w:rsidRPr="00F15C49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CC7575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CC7575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2E4C91" w:rsidRDefault="00744CB2" w:rsidP="002E4C91">
            <w:pPr>
              <w:spacing w:after="0" w:line="23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E4C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Шемуршинский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муниципальный </w:t>
            </w:r>
            <w:r w:rsidR="001A09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786C18">
            <w:pPr>
              <w:spacing w:after="0" w:line="23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786C18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EF296E" w:rsidRDefault="00744CB2" w:rsidP="00EF296E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F296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A75CAF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Шумерлинский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ниципальный 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A75CAF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A75CAF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5B4C13" w:rsidRDefault="00744CB2" w:rsidP="005B4C13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B4C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Ядринский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муниц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пальный </w:t>
            </w:r>
            <w:r w:rsidR="001A09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5B4C13" w:rsidRDefault="00744CB2" w:rsidP="00A75CAF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A75CAF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CF5805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5B4C13" w:rsidRDefault="00744CB2" w:rsidP="005B4C1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B4C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Яльчикский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мун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ципальный округ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CF5805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5B4C13" w:rsidRDefault="00744CB2" w:rsidP="00A75C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A75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FB7EF8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5B4C13" w:rsidRDefault="00744CB2" w:rsidP="005B4C1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B4C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1547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Янтиковский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мун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ципальный </w:t>
            </w:r>
            <w:r w:rsidR="001A09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округ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FB7EF8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A75CA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A75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FB7EF8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CC75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CC75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Алатырь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FB7EF8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CC75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CC75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FB7EF8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CC75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CC75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Канаш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F44404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46EF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FB7EF8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CC75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CC75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424D0A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CC75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CC75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Новочебо</w:t>
            </w: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</w:t>
            </w: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сарск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B146EF" w:rsidRDefault="00B146EF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68,8</w:t>
            </w:r>
          </w:p>
        </w:tc>
      </w:tr>
      <w:tr w:rsidR="00744CB2" w:rsidRPr="00424D0A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CC75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CC75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B146EF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6E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424D0A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9572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957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Чебоксары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B146EF" w:rsidRDefault="00B146EF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128,8</w:t>
            </w:r>
          </w:p>
        </w:tc>
      </w:tr>
      <w:tr w:rsidR="00744CB2" w:rsidRPr="00424D0A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CC75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CC75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B146EF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146E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44CB2" w:rsidRPr="00FB7EF8" w:rsidTr="000D7CB1"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CC75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26.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4CB2" w:rsidRPr="00CC7575" w:rsidRDefault="00744CB2" w:rsidP="00CC75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C757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Шумерля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01.12.2022-31.12.2022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744CB2" w:rsidRPr="00FB7EF8" w:rsidTr="000D7CB1"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44CB2" w:rsidRPr="00CC7575" w:rsidRDefault="00744CB2" w:rsidP="00CC757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4CB2" w:rsidRPr="00CC7575" w:rsidRDefault="00744CB2" w:rsidP="00CC75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01.01.2023-31.12.2023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  <w:vAlign w:val="center"/>
          </w:tcPr>
          <w:p w:rsidR="00744CB2" w:rsidRPr="00CC7575" w:rsidRDefault="00744CB2" w:rsidP="001B305F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CD13CA" w:rsidRDefault="00CD13CA" w:rsidP="00AB7BE4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Times New Roman" w:hAnsi="Times New Roman"/>
        </w:rPr>
      </w:pPr>
    </w:p>
    <w:p w:rsidR="00AB7BE4" w:rsidRPr="00CF5805" w:rsidRDefault="00AB7BE4" w:rsidP="00AB7BE4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Times New Roman" w:hAnsi="Times New Roman"/>
          <w:lang w:eastAsia="ru-RU"/>
        </w:rPr>
      </w:pPr>
      <w:r w:rsidRPr="00CF5805">
        <w:rPr>
          <w:rFonts w:ascii="Times New Roman" w:hAnsi="Times New Roman"/>
        </w:rPr>
        <w:t xml:space="preserve">Примечания. </w:t>
      </w:r>
      <w:r w:rsidRPr="00CF5805">
        <w:rPr>
          <w:rFonts w:ascii="Times New Roman" w:hAnsi="Times New Roman"/>
          <w:lang w:eastAsia="ru-RU"/>
        </w:rPr>
        <w:t xml:space="preserve"> </w:t>
      </w:r>
      <w:r w:rsidRPr="00CF5805">
        <w:rPr>
          <w:rFonts w:ascii="Times New Roman" w:hAnsi="Times New Roman"/>
          <w:lang w:eastAsia="ru-RU"/>
        </w:rPr>
        <w:tab/>
        <w:t>1.</w:t>
      </w:r>
      <w:r w:rsidRPr="00CF5805">
        <w:rPr>
          <w:rFonts w:ascii="Times New Roman" w:hAnsi="Times New Roman"/>
          <w:lang w:eastAsia="ru-RU"/>
        </w:rPr>
        <w:tab/>
      </w:r>
      <w:proofErr w:type="gramStart"/>
      <w:r w:rsidRPr="00CF5805">
        <w:rPr>
          <w:rFonts w:ascii="Times New Roman" w:hAnsi="Times New Roman"/>
          <w:lang w:eastAsia="ru-RU"/>
        </w:rPr>
        <w:t>Предельные (максимальные) индексы изменения размера вносимой гражд</w:t>
      </w:r>
      <w:r w:rsidRPr="00CF5805">
        <w:rPr>
          <w:rFonts w:ascii="Times New Roman" w:hAnsi="Times New Roman"/>
          <w:lang w:eastAsia="ru-RU"/>
        </w:rPr>
        <w:t>а</w:t>
      </w:r>
      <w:r w:rsidRPr="00CF5805">
        <w:rPr>
          <w:rFonts w:ascii="Times New Roman" w:hAnsi="Times New Roman"/>
          <w:lang w:eastAsia="ru-RU"/>
        </w:rPr>
        <w:t>нами платы за коммунальные услуги в муниципальных образованиях не м</w:t>
      </w:r>
      <w:r w:rsidRPr="00CF5805">
        <w:rPr>
          <w:rFonts w:ascii="Times New Roman" w:hAnsi="Times New Roman"/>
          <w:lang w:eastAsia="ru-RU"/>
        </w:rPr>
        <w:t>о</w:t>
      </w:r>
      <w:r w:rsidRPr="00CF5805">
        <w:rPr>
          <w:rFonts w:ascii="Times New Roman" w:hAnsi="Times New Roman"/>
          <w:lang w:eastAsia="ru-RU"/>
        </w:rPr>
        <w:t>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</w:t>
      </w:r>
      <w:r w:rsidRPr="00CF5805">
        <w:rPr>
          <w:rFonts w:ascii="Times New Roman" w:hAnsi="Times New Roman"/>
          <w:lang w:eastAsia="ru-RU"/>
        </w:rPr>
        <w:t>б</w:t>
      </w:r>
      <w:r w:rsidRPr="00CF5805">
        <w:rPr>
          <w:rFonts w:ascii="Times New Roman" w:hAnsi="Times New Roman"/>
          <w:lang w:eastAsia="ru-RU"/>
        </w:rPr>
        <w:t>разованиям от величины индекса изменения размера вносимой гражданами платы за коммунальные услуги по субъекту Российской Федерации, за и</w:t>
      </w:r>
      <w:r w:rsidRPr="00CF5805">
        <w:rPr>
          <w:rFonts w:ascii="Times New Roman" w:hAnsi="Times New Roman"/>
          <w:lang w:eastAsia="ru-RU"/>
        </w:rPr>
        <w:t>с</w:t>
      </w:r>
      <w:r w:rsidRPr="00CF5805">
        <w:rPr>
          <w:rFonts w:ascii="Times New Roman" w:hAnsi="Times New Roman"/>
          <w:lang w:eastAsia="ru-RU"/>
        </w:rPr>
        <w:t>ключением случаев</w:t>
      </w:r>
      <w:proofErr w:type="gramEnd"/>
      <w:r w:rsidRPr="00CF5805">
        <w:rPr>
          <w:rFonts w:ascii="Times New Roman" w:hAnsi="Times New Roman"/>
          <w:lang w:eastAsia="ru-RU"/>
        </w:rPr>
        <w:t>, предусмотренных раздел</w:t>
      </w:r>
      <w:r>
        <w:rPr>
          <w:rFonts w:ascii="Times New Roman" w:hAnsi="Times New Roman"/>
          <w:lang w:eastAsia="ru-RU"/>
        </w:rPr>
        <w:t>а</w:t>
      </w:r>
      <w:r w:rsidRPr="00CF5805">
        <w:rPr>
          <w:rFonts w:ascii="Times New Roman" w:hAnsi="Times New Roman"/>
          <w:lang w:eastAsia="ru-RU"/>
        </w:rPr>
        <w:t>м</w:t>
      </w:r>
      <w:r>
        <w:rPr>
          <w:rFonts w:ascii="Times New Roman" w:hAnsi="Times New Roman"/>
          <w:lang w:eastAsia="ru-RU"/>
        </w:rPr>
        <w:t>и</w:t>
      </w:r>
      <w:r w:rsidRPr="00CF580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III</w:t>
      </w:r>
      <w:r>
        <w:rPr>
          <w:rFonts w:ascii="Times New Roman" w:hAnsi="Times New Roman"/>
          <w:lang w:eastAsia="ru-RU"/>
        </w:rPr>
        <w:t xml:space="preserve"> и </w:t>
      </w:r>
      <w:r w:rsidRPr="00CF5805">
        <w:rPr>
          <w:rFonts w:ascii="Times New Roman" w:hAnsi="Times New Roman"/>
          <w:lang w:eastAsia="ru-RU"/>
        </w:rPr>
        <w:t>IV Основ формиров</w:t>
      </w:r>
      <w:r w:rsidRPr="00CF5805">
        <w:rPr>
          <w:rFonts w:ascii="Times New Roman" w:hAnsi="Times New Roman"/>
          <w:lang w:eastAsia="ru-RU"/>
        </w:rPr>
        <w:t>а</w:t>
      </w:r>
      <w:r w:rsidRPr="00CF5805">
        <w:rPr>
          <w:rFonts w:ascii="Times New Roman" w:hAnsi="Times New Roman"/>
          <w:lang w:eastAsia="ru-RU"/>
        </w:rPr>
        <w:t>ния индексов изменения размера платы граждан за коммунальные услуги в Российской Федерации, утвержденных постановлением Правительства Ро</w:t>
      </w:r>
      <w:r w:rsidRPr="00CF5805">
        <w:rPr>
          <w:rFonts w:ascii="Times New Roman" w:hAnsi="Times New Roman"/>
          <w:lang w:eastAsia="ru-RU"/>
        </w:rPr>
        <w:t>с</w:t>
      </w:r>
      <w:r w:rsidRPr="00CF5805">
        <w:rPr>
          <w:rFonts w:ascii="Times New Roman" w:hAnsi="Times New Roman"/>
          <w:lang w:eastAsia="ru-RU"/>
        </w:rPr>
        <w:t xml:space="preserve">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Pr="00CF5805">
          <w:rPr>
            <w:rFonts w:ascii="Times New Roman" w:hAnsi="Times New Roman"/>
            <w:lang w:eastAsia="ru-RU"/>
          </w:rPr>
          <w:t>2014 г</w:t>
        </w:r>
      </w:smartTag>
      <w:r w:rsidRPr="00CF5805">
        <w:rPr>
          <w:rFonts w:ascii="Times New Roman" w:hAnsi="Times New Roman"/>
          <w:lang w:eastAsia="ru-RU"/>
        </w:rPr>
        <w:t>. № 400.</w:t>
      </w:r>
    </w:p>
    <w:p w:rsidR="00AB7BE4" w:rsidRDefault="00AB7BE4" w:rsidP="00AB7BE4">
      <w:p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/>
          <w:lang w:eastAsia="ru-RU"/>
        </w:rPr>
      </w:pPr>
      <w:r w:rsidRPr="00CF5805">
        <w:rPr>
          <w:rFonts w:ascii="Times New Roman" w:hAnsi="Times New Roman"/>
          <w:lang w:eastAsia="ru-RU"/>
        </w:rPr>
        <w:lastRenderedPageBreak/>
        <w:t>2.</w:t>
      </w:r>
      <w:r w:rsidRPr="00CF5805">
        <w:rPr>
          <w:rFonts w:ascii="Times New Roman" w:hAnsi="Times New Roman"/>
          <w:lang w:eastAsia="ru-RU"/>
        </w:rPr>
        <w:tab/>
      </w:r>
      <w:proofErr w:type="gramStart"/>
      <w:r w:rsidRPr="00CF5805">
        <w:rPr>
          <w:rFonts w:ascii="Times New Roman" w:hAnsi="Times New Roman"/>
          <w:lang w:eastAsia="ru-RU"/>
        </w:rPr>
        <w:t>Изменение (прирост) размера платы граждан за коммунальные услуги в среднем по всем муниципальным образованиям субъекта Российской Фед</w:t>
      </w:r>
      <w:r w:rsidRPr="00CF5805">
        <w:rPr>
          <w:rFonts w:ascii="Times New Roman" w:hAnsi="Times New Roman"/>
          <w:lang w:eastAsia="ru-RU"/>
        </w:rPr>
        <w:t>е</w:t>
      </w:r>
      <w:r w:rsidRPr="00CF5805">
        <w:rPr>
          <w:rFonts w:ascii="Times New Roman" w:hAnsi="Times New Roman"/>
          <w:lang w:eastAsia="ru-RU"/>
        </w:rPr>
        <w:t>рации не может превышать индекс изменения размера вносимой гражданами платы за коммунальные услуги в среднем по субъекту Российской Федерации</w:t>
      </w:r>
      <w:r>
        <w:rPr>
          <w:rFonts w:ascii="Times New Roman" w:hAnsi="Times New Roman"/>
          <w:lang w:eastAsia="ru-RU"/>
        </w:rPr>
        <w:t xml:space="preserve"> с учетом положений пункта 59 </w:t>
      </w:r>
      <w:r w:rsidRPr="00CF5805">
        <w:rPr>
          <w:rFonts w:ascii="Times New Roman" w:hAnsi="Times New Roman"/>
          <w:lang w:eastAsia="ru-RU"/>
        </w:rPr>
        <w:t xml:space="preserve">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</w:t>
      </w:r>
      <w:r w:rsidR="00624599" w:rsidRPr="00624599">
        <w:rPr>
          <w:rFonts w:ascii="Times New Roman" w:hAnsi="Times New Roman"/>
          <w:lang w:eastAsia="ru-RU"/>
        </w:rPr>
        <w:br/>
      </w:r>
      <w:r w:rsidRPr="00CF5805">
        <w:rPr>
          <w:rFonts w:ascii="Times New Roman" w:hAnsi="Times New Roman"/>
          <w:lang w:eastAsia="ru-RU"/>
        </w:rPr>
        <w:t>30</w:t>
      </w:r>
      <w:proofErr w:type="gramEnd"/>
      <w:r w:rsidRPr="00CF5805">
        <w:rPr>
          <w:rFonts w:ascii="Times New Roman" w:hAnsi="Times New Roman"/>
          <w:lang w:eastAsia="ru-RU"/>
        </w:rPr>
        <w:t xml:space="preserve"> апреля </w:t>
      </w:r>
      <w:smartTag w:uri="urn:schemas-microsoft-com:office:smarttags" w:element="metricconverter">
        <w:smartTagPr>
          <w:attr w:name="ProductID" w:val="2014 г"/>
        </w:smartTagPr>
        <w:r w:rsidRPr="00CF5805">
          <w:rPr>
            <w:rFonts w:ascii="Times New Roman" w:hAnsi="Times New Roman"/>
            <w:lang w:eastAsia="ru-RU"/>
          </w:rPr>
          <w:t>2014 г</w:t>
        </w:r>
      </w:smartTag>
      <w:r w:rsidRPr="00CF5805">
        <w:rPr>
          <w:rFonts w:ascii="Times New Roman" w:hAnsi="Times New Roman"/>
          <w:lang w:eastAsia="ru-RU"/>
        </w:rPr>
        <w:t>. № 400.</w:t>
      </w:r>
    </w:p>
    <w:p w:rsidR="00AB7BE4" w:rsidRDefault="00AB7BE4" w:rsidP="00AB7BE4">
      <w:p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>
        <w:rPr>
          <w:rFonts w:ascii="Times New Roman" w:hAnsi="Times New Roman"/>
          <w:lang w:eastAsia="ru-RU"/>
        </w:rPr>
        <w:tab/>
      </w:r>
      <w:r w:rsidRPr="00031123">
        <w:rPr>
          <w:rFonts w:ascii="Times New Roman" w:hAnsi="Times New Roman"/>
          <w:lang w:eastAsia="ru-RU"/>
        </w:rPr>
        <w:t>На первый год долгосрочного периода предельные (максимальные) индексы изменения размера вносимой гражданами платы за коммунальные услуги в муниципальных образованиях устанавливаются в процентном выражении, на второй и последующие годы долгосрочного периода предельные индексы устанавливаются в виде формулы, где:</w:t>
      </w:r>
    </w:p>
    <w:p w:rsidR="00AB7BE4" w:rsidRDefault="00AB7BE4" w:rsidP="00AB7BE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6228F7F" wp14:editId="46E7B4C2">
            <wp:extent cx="675640" cy="254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123">
        <w:rPr>
          <w:rFonts w:ascii="Times New Roman" w:hAnsi="Times New Roman"/>
          <w:lang w:eastAsia="ru-RU"/>
        </w:rPr>
        <w:t xml:space="preserve"> </w:t>
      </w:r>
      <w:proofErr w:type="gramStart"/>
      <w:r w:rsidR="00786C18">
        <w:rPr>
          <w:rFonts w:ascii="Times New Roman" w:hAnsi="Times New Roman"/>
          <w:lang w:eastAsia="ru-RU"/>
        </w:rPr>
        <w:t>–</w:t>
      </w:r>
      <w:r w:rsidRPr="00031123">
        <w:rPr>
          <w:rFonts w:ascii="Times New Roman" w:hAnsi="Times New Roman"/>
          <w:lang w:eastAsia="ru-RU"/>
        </w:rPr>
        <w:t xml:space="preserve">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</w:t>
      </w:r>
      <w:r w:rsidRPr="00031123">
        <w:rPr>
          <w:rFonts w:ascii="Times New Roman" w:hAnsi="Times New Roman"/>
          <w:lang w:eastAsia="ru-RU"/>
        </w:rPr>
        <w:t>о</w:t>
      </w:r>
      <w:r w:rsidRPr="00031123">
        <w:rPr>
          <w:rFonts w:ascii="Times New Roman" w:hAnsi="Times New Roman"/>
          <w:lang w:eastAsia="ru-RU"/>
        </w:rPr>
        <w:t>устройства) на j-й месяц года долгосрочного периода, в котором размер вн</w:t>
      </w:r>
      <w:r w:rsidRPr="00031123">
        <w:rPr>
          <w:rFonts w:ascii="Times New Roman" w:hAnsi="Times New Roman"/>
          <w:lang w:eastAsia="ru-RU"/>
        </w:rPr>
        <w:t>о</w:t>
      </w:r>
      <w:r w:rsidRPr="00031123">
        <w:rPr>
          <w:rFonts w:ascii="Times New Roman" w:hAnsi="Times New Roman"/>
          <w:lang w:eastAsia="ru-RU"/>
        </w:rPr>
        <w:t>симой гражданином платы за коммунальные услуги по субъекту Российской Федерации максимален, рублей;</w:t>
      </w:r>
      <w:proofErr w:type="gramEnd"/>
    </w:p>
    <w:p w:rsidR="00AB7BE4" w:rsidRDefault="00AB7BE4" w:rsidP="00AB7BE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20E441A" wp14:editId="38577A2E">
            <wp:extent cx="556895" cy="254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123">
        <w:rPr>
          <w:rFonts w:ascii="Times New Roman" w:hAnsi="Times New Roman"/>
          <w:lang w:eastAsia="ru-RU"/>
        </w:rPr>
        <w:t xml:space="preserve"> </w:t>
      </w:r>
      <w:proofErr w:type="gramStart"/>
      <w:r w:rsidR="00786C18">
        <w:rPr>
          <w:rFonts w:ascii="Times New Roman" w:hAnsi="Times New Roman"/>
          <w:lang w:eastAsia="ru-RU"/>
        </w:rPr>
        <w:t>–</w:t>
      </w:r>
      <w:r w:rsidRPr="00031123">
        <w:rPr>
          <w:rFonts w:ascii="Times New Roman" w:hAnsi="Times New Roman"/>
          <w:lang w:eastAsia="ru-RU"/>
        </w:rPr>
        <w:t xml:space="preserve">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</w:t>
      </w:r>
      <w:r w:rsidRPr="00031123">
        <w:rPr>
          <w:rFonts w:ascii="Times New Roman" w:hAnsi="Times New Roman"/>
          <w:lang w:eastAsia="ru-RU"/>
        </w:rPr>
        <w:t>о</w:t>
      </w:r>
      <w:r w:rsidRPr="00031123">
        <w:rPr>
          <w:rFonts w:ascii="Times New Roman" w:hAnsi="Times New Roman"/>
          <w:lang w:eastAsia="ru-RU"/>
        </w:rPr>
        <w:t>устройства) в декабре предыдущего календарного года, рублей;</w:t>
      </w:r>
      <w:proofErr w:type="gramEnd"/>
    </w:p>
    <w:p w:rsidR="00AB7BE4" w:rsidRDefault="00AB7BE4" w:rsidP="00AB7BE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lang w:eastAsia="ru-RU"/>
        </w:rPr>
      </w:pPr>
      <w:r w:rsidRPr="00031123">
        <w:rPr>
          <w:rFonts w:ascii="Times New Roman" w:hAnsi="Times New Roman"/>
          <w:lang w:eastAsia="ru-RU"/>
        </w:rPr>
        <w:t xml:space="preserve">j </w:t>
      </w:r>
      <w:r w:rsidR="00561FC6">
        <w:rPr>
          <w:rFonts w:ascii="Times New Roman" w:hAnsi="Times New Roman"/>
          <w:lang w:eastAsia="ru-RU"/>
        </w:rPr>
        <w:t>–</w:t>
      </w:r>
      <w:r w:rsidRPr="00031123">
        <w:rPr>
          <w:rFonts w:ascii="Times New Roman" w:hAnsi="Times New Roman"/>
          <w:lang w:eastAsia="ru-RU"/>
        </w:rPr>
        <w:t xml:space="preserve"> месяц года долгосрочного периода.</w:t>
      </w:r>
    </w:p>
    <w:p w:rsidR="009B52F4" w:rsidRPr="00C411F6" w:rsidRDefault="008B7535" w:rsidP="00C411F6">
      <w:p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 </w:t>
      </w:r>
      <w:proofErr w:type="gramStart"/>
      <w:r w:rsidR="003012C2">
        <w:rPr>
          <w:rFonts w:ascii="Times New Roman" w:hAnsi="Times New Roman"/>
          <w:lang w:eastAsia="ru-RU"/>
        </w:rPr>
        <w:t>П</w:t>
      </w:r>
      <w:r w:rsidR="00B61646">
        <w:rPr>
          <w:rFonts w:ascii="Times New Roman" w:hAnsi="Times New Roman"/>
          <w:lang w:eastAsia="ru-RU"/>
        </w:rPr>
        <w:t>одпунктом 4 п</w:t>
      </w:r>
      <w:r w:rsidR="00C411F6" w:rsidRPr="00C411F6">
        <w:rPr>
          <w:rFonts w:ascii="Times New Roman" w:hAnsi="Times New Roman"/>
          <w:lang w:eastAsia="ru-RU"/>
        </w:rPr>
        <w:t>ункт</w:t>
      </w:r>
      <w:r w:rsidR="00B61646">
        <w:rPr>
          <w:rFonts w:ascii="Times New Roman" w:hAnsi="Times New Roman"/>
          <w:lang w:eastAsia="ru-RU"/>
        </w:rPr>
        <w:t>а</w:t>
      </w:r>
      <w:r w:rsidR="00C411F6" w:rsidRPr="00C411F6">
        <w:rPr>
          <w:rFonts w:ascii="Times New Roman" w:hAnsi="Times New Roman"/>
          <w:lang w:eastAsia="ru-RU"/>
        </w:rPr>
        <w:t xml:space="preserve"> 4 постановления Правительства Российской Федерации от 14 ноября 2022 г. № 2053 </w:t>
      </w:r>
      <w:bookmarkStart w:id="1" w:name="Заголовок_"/>
      <w:r w:rsidR="00C411F6" w:rsidRPr="00C411F6">
        <w:rPr>
          <w:rFonts w:ascii="Times New Roman" w:hAnsi="Times New Roman"/>
          <w:lang w:eastAsia="ru-RU"/>
        </w:rPr>
        <w:t xml:space="preserve">«Об особенностях индексации регулируемых цен (тарифов) с 1 декабря 2022 г. по 31 декабря 2023 г. и </w:t>
      </w:r>
      <w:r w:rsidR="00AD6CDA">
        <w:rPr>
          <w:rFonts w:ascii="Times New Roman" w:hAnsi="Times New Roman"/>
          <w:lang w:eastAsia="ru-RU"/>
        </w:rPr>
        <w:t xml:space="preserve">о </w:t>
      </w:r>
      <w:bookmarkStart w:id="2" w:name="_GoBack"/>
      <w:bookmarkEnd w:id="2"/>
      <w:r w:rsidR="00C411F6" w:rsidRPr="00C411F6">
        <w:rPr>
          <w:rFonts w:ascii="Times New Roman" w:hAnsi="Times New Roman"/>
          <w:lang w:eastAsia="ru-RU"/>
        </w:rPr>
        <w:t xml:space="preserve">внесении изменений в </w:t>
      </w:r>
      <w:r w:rsidR="00027F47">
        <w:rPr>
          <w:rFonts w:ascii="Times New Roman" w:hAnsi="Times New Roman"/>
          <w:lang w:eastAsia="ru-RU"/>
        </w:rPr>
        <w:t xml:space="preserve">некоторые </w:t>
      </w:r>
      <w:r w:rsidR="00C411F6" w:rsidRPr="00C411F6">
        <w:rPr>
          <w:rFonts w:ascii="Times New Roman" w:hAnsi="Times New Roman"/>
          <w:lang w:eastAsia="ru-RU"/>
        </w:rPr>
        <w:t xml:space="preserve"> акты Правительства Российской Федерации</w:t>
      </w:r>
      <w:bookmarkEnd w:id="1"/>
      <w:r w:rsidR="00C411F6" w:rsidRPr="00C411F6">
        <w:rPr>
          <w:rFonts w:ascii="Times New Roman" w:hAnsi="Times New Roman"/>
          <w:lang w:eastAsia="ru-RU"/>
        </w:rPr>
        <w:t>» установлено, что при применении и мониторинге индексов изменения размера вносимой гра</w:t>
      </w:r>
      <w:r w:rsidR="00C411F6" w:rsidRPr="00C411F6">
        <w:rPr>
          <w:rFonts w:ascii="Times New Roman" w:hAnsi="Times New Roman"/>
          <w:lang w:eastAsia="ru-RU"/>
        </w:rPr>
        <w:t>ж</w:t>
      </w:r>
      <w:r w:rsidR="00C411F6" w:rsidRPr="00C411F6">
        <w:rPr>
          <w:rFonts w:ascii="Times New Roman" w:hAnsi="Times New Roman"/>
          <w:lang w:eastAsia="ru-RU"/>
        </w:rPr>
        <w:t>данами платы за коммунальные услуги по субъекту Российской Федерации и</w:t>
      </w:r>
      <w:proofErr w:type="gramEnd"/>
      <w:r w:rsidR="00C411F6" w:rsidRPr="00C411F6">
        <w:rPr>
          <w:rFonts w:ascii="Times New Roman" w:hAnsi="Times New Roman"/>
          <w:lang w:eastAsia="ru-RU"/>
        </w:rPr>
        <w:t xml:space="preserve"> предельных (максимальных) индексов изменения размера вносимой гражд</w:t>
      </w:r>
      <w:r w:rsidR="00C411F6" w:rsidRPr="00C411F6">
        <w:rPr>
          <w:rFonts w:ascii="Times New Roman" w:hAnsi="Times New Roman"/>
          <w:lang w:eastAsia="ru-RU"/>
        </w:rPr>
        <w:t>а</w:t>
      </w:r>
      <w:r w:rsidR="00C411F6" w:rsidRPr="00C411F6">
        <w:rPr>
          <w:rFonts w:ascii="Times New Roman" w:hAnsi="Times New Roman"/>
          <w:lang w:eastAsia="ru-RU"/>
        </w:rPr>
        <w:t>нами платы за коммунальные услуги в муниципальных образованиях размер вносимой гражданами платы за коммунальные услуги за декабрь 2022 г. сравнивается с размером вносимой гражданами платы за коммунальные услуги, предоставленные в ноябре 2022 г.</w:t>
      </w:r>
    </w:p>
    <w:p w:rsidR="009B52F4" w:rsidRDefault="009B52F4" w:rsidP="00D227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9B52F4" w:rsidSect="00A121DB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91" w:rsidRDefault="002E4C91" w:rsidP="00A121DB">
      <w:pPr>
        <w:spacing w:after="0" w:line="240" w:lineRule="auto"/>
      </w:pPr>
      <w:r>
        <w:separator/>
      </w:r>
    </w:p>
  </w:endnote>
  <w:endnote w:type="continuationSeparator" w:id="0">
    <w:p w:rsidR="002E4C91" w:rsidRDefault="002E4C91" w:rsidP="00A1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91" w:rsidRDefault="002E4C91" w:rsidP="00A121DB">
      <w:pPr>
        <w:spacing w:after="0" w:line="240" w:lineRule="auto"/>
      </w:pPr>
      <w:r>
        <w:separator/>
      </w:r>
    </w:p>
  </w:footnote>
  <w:footnote w:type="continuationSeparator" w:id="0">
    <w:p w:rsidR="002E4C91" w:rsidRDefault="002E4C91" w:rsidP="00A1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91" w:rsidRPr="00A121DB" w:rsidRDefault="002E4C91" w:rsidP="00A121DB">
    <w:pPr>
      <w:pStyle w:val="a7"/>
      <w:jc w:val="center"/>
      <w:rPr>
        <w:rFonts w:ascii="Times New Roman" w:hAnsi="Times New Roman"/>
        <w:sz w:val="24"/>
        <w:szCs w:val="24"/>
      </w:rPr>
    </w:pPr>
    <w:r w:rsidRPr="00A121DB">
      <w:rPr>
        <w:rFonts w:ascii="Times New Roman" w:hAnsi="Times New Roman"/>
        <w:sz w:val="24"/>
        <w:szCs w:val="24"/>
      </w:rPr>
      <w:fldChar w:fldCharType="begin"/>
    </w:r>
    <w:r w:rsidRPr="00A121DB">
      <w:rPr>
        <w:rFonts w:ascii="Times New Roman" w:hAnsi="Times New Roman"/>
        <w:sz w:val="24"/>
        <w:szCs w:val="24"/>
      </w:rPr>
      <w:instrText>PAGE   \* MERGEFORMAT</w:instrText>
    </w:r>
    <w:r w:rsidRPr="00A121DB">
      <w:rPr>
        <w:rFonts w:ascii="Times New Roman" w:hAnsi="Times New Roman"/>
        <w:sz w:val="24"/>
        <w:szCs w:val="24"/>
      </w:rPr>
      <w:fldChar w:fldCharType="separate"/>
    </w:r>
    <w:r w:rsidR="00AD6CDA">
      <w:rPr>
        <w:rFonts w:ascii="Times New Roman" w:hAnsi="Times New Roman"/>
        <w:noProof/>
        <w:sz w:val="24"/>
        <w:szCs w:val="24"/>
      </w:rPr>
      <w:t>4</w:t>
    </w:r>
    <w:r w:rsidRPr="00A121DB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6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71"/>
    <w:rsid w:val="00002072"/>
    <w:rsid w:val="000125B4"/>
    <w:rsid w:val="000152D0"/>
    <w:rsid w:val="000204E9"/>
    <w:rsid w:val="0002329F"/>
    <w:rsid w:val="00027F47"/>
    <w:rsid w:val="00030FA3"/>
    <w:rsid w:val="00043A20"/>
    <w:rsid w:val="000606EF"/>
    <w:rsid w:val="00072764"/>
    <w:rsid w:val="0007517A"/>
    <w:rsid w:val="00075867"/>
    <w:rsid w:val="0007642E"/>
    <w:rsid w:val="00084A1C"/>
    <w:rsid w:val="000858BF"/>
    <w:rsid w:val="00086F57"/>
    <w:rsid w:val="000A5AEC"/>
    <w:rsid w:val="000A752A"/>
    <w:rsid w:val="000B3BE8"/>
    <w:rsid w:val="000B40A7"/>
    <w:rsid w:val="000B5496"/>
    <w:rsid w:val="000C1BD1"/>
    <w:rsid w:val="000C20AB"/>
    <w:rsid w:val="000C4C00"/>
    <w:rsid w:val="000D5BF6"/>
    <w:rsid w:val="000D7CB1"/>
    <w:rsid w:val="000E2B11"/>
    <w:rsid w:val="000E695C"/>
    <w:rsid w:val="000F224B"/>
    <w:rsid w:val="000F5ECC"/>
    <w:rsid w:val="00102C8C"/>
    <w:rsid w:val="00103CF7"/>
    <w:rsid w:val="00117DC4"/>
    <w:rsid w:val="00121AF4"/>
    <w:rsid w:val="001258A7"/>
    <w:rsid w:val="00126698"/>
    <w:rsid w:val="0012716F"/>
    <w:rsid w:val="0015471D"/>
    <w:rsid w:val="00154CF1"/>
    <w:rsid w:val="00163B2C"/>
    <w:rsid w:val="00177ED1"/>
    <w:rsid w:val="00191F05"/>
    <w:rsid w:val="001944DB"/>
    <w:rsid w:val="001A05C2"/>
    <w:rsid w:val="001A09B4"/>
    <w:rsid w:val="001A3DB9"/>
    <w:rsid w:val="001D34FC"/>
    <w:rsid w:val="001D43E7"/>
    <w:rsid w:val="001D682B"/>
    <w:rsid w:val="001D6E12"/>
    <w:rsid w:val="001E0A89"/>
    <w:rsid w:val="001E5347"/>
    <w:rsid w:val="001F6491"/>
    <w:rsid w:val="00201AB5"/>
    <w:rsid w:val="002066E5"/>
    <w:rsid w:val="0021681B"/>
    <w:rsid w:val="00216B54"/>
    <w:rsid w:val="00221BCB"/>
    <w:rsid w:val="0022203D"/>
    <w:rsid w:val="002271B0"/>
    <w:rsid w:val="00233685"/>
    <w:rsid w:val="00236264"/>
    <w:rsid w:val="00246B7C"/>
    <w:rsid w:val="00257385"/>
    <w:rsid w:val="0026171D"/>
    <w:rsid w:val="00263EE8"/>
    <w:rsid w:val="002649A0"/>
    <w:rsid w:val="00265709"/>
    <w:rsid w:val="00273277"/>
    <w:rsid w:val="002813F4"/>
    <w:rsid w:val="00284136"/>
    <w:rsid w:val="00294A41"/>
    <w:rsid w:val="002979A1"/>
    <w:rsid w:val="002A3B1F"/>
    <w:rsid w:val="002A484C"/>
    <w:rsid w:val="002A647E"/>
    <w:rsid w:val="002B6FA9"/>
    <w:rsid w:val="002C4464"/>
    <w:rsid w:val="002D600E"/>
    <w:rsid w:val="002D75D3"/>
    <w:rsid w:val="002E2E83"/>
    <w:rsid w:val="002E4C91"/>
    <w:rsid w:val="003012C2"/>
    <w:rsid w:val="00303285"/>
    <w:rsid w:val="0031245D"/>
    <w:rsid w:val="0031502F"/>
    <w:rsid w:val="0031594E"/>
    <w:rsid w:val="0032775B"/>
    <w:rsid w:val="00343EED"/>
    <w:rsid w:val="00346D37"/>
    <w:rsid w:val="003536FC"/>
    <w:rsid w:val="00355DDB"/>
    <w:rsid w:val="00363181"/>
    <w:rsid w:val="00377DD8"/>
    <w:rsid w:val="00387B18"/>
    <w:rsid w:val="0039212C"/>
    <w:rsid w:val="00394558"/>
    <w:rsid w:val="003A472B"/>
    <w:rsid w:val="003B1DA0"/>
    <w:rsid w:val="003B232C"/>
    <w:rsid w:val="003B2C74"/>
    <w:rsid w:val="003B2F3A"/>
    <w:rsid w:val="003B39A6"/>
    <w:rsid w:val="003B4824"/>
    <w:rsid w:val="003B5BEF"/>
    <w:rsid w:val="003B5C0B"/>
    <w:rsid w:val="003B7068"/>
    <w:rsid w:val="003B7FA2"/>
    <w:rsid w:val="003C226F"/>
    <w:rsid w:val="003C7225"/>
    <w:rsid w:val="003D6E27"/>
    <w:rsid w:val="003E2926"/>
    <w:rsid w:val="003E6671"/>
    <w:rsid w:val="003E778C"/>
    <w:rsid w:val="003F1219"/>
    <w:rsid w:val="003F73B8"/>
    <w:rsid w:val="003F7D1F"/>
    <w:rsid w:val="003F7E52"/>
    <w:rsid w:val="00413E62"/>
    <w:rsid w:val="00417175"/>
    <w:rsid w:val="00417500"/>
    <w:rsid w:val="00424D0A"/>
    <w:rsid w:val="00426306"/>
    <w:rsid w:val="00430B01"/>
    <w:rsid w:val="004312A4"/>
    <w:rsid w:val="004377F8"/>
    <w:rsid w:val="00440FC2"/>
    <w:rsid w:val="004437A8"/>
    <w:rsid w:val="00456BFC"/>
    <w:rsid w:val="00457DA2"/>
    <w:rsid w:val="00457DBA"/>
    <w:rsid w:val="004777BF"/>
    <w:rsid w:val="00481B79"/>
    <w:rsid w:val="004A07BE"/>
    <w:rsid w:val="004A6024"/>
    <w:rsid w:val="004C2466"/>
    <w:rsid w:val="004C458A"/>
    <w:rsid w:val="004C4B26"/>
    <w:rsid w:val="004C5109"/>
    <w:rsid w:val="004C6A02"/>
    <w:rsid w:val="004C7AD1"/>
    <w:rsid w:val="004F2963"/>
    <w:rsid w:val="004F4BD2"/>
    <w:rsid w:val="00511F99"/>
    <w:rsid w:val="005154F3"/>
    <w:rsid w:val="00515FB7"/>
    <w:rsid w:val="0051649D"/>
    <w:rsid w:val="00527500"/>
    <w:rsid w:val="005431ED"/>
    <w:rsid w:val="005448A3"/>
    <w:rsid w:val="00545A97"/>
    <w:rsid w:val="0055230C"/>
    <w:rsid w:val="005544BD"/>
    <w:rsid w:val="00554FE6"/>
    <w:rsid w:val="00557F49"/>
    <w:rsid w:val="00561F7B"/>
    <w:rsid w:val="00561FC6"/>
    <w:rsid w:val="0057459D"/>
    <w:rsid w:val="005A638E"/>
    <w:rsid w:val="005A7ED6"/>
    <w:rsid w:val="005B1076"/>
    <w:rsid w:val="005B2954"/>
    <w:rsid w:val="005B4C13"/>
    <w:rsid w:val="005C22C0"/>
    <w:rsid w:val="005C4DAA"/>
    <w:rsid w:val="005C5232"/>
    <w:rsid w:val="005C72CE"/>
    <w:rsid w:val="005D5297"/>
    <w:rsid w:val="005E3751"/>
    <w:rsid w:val="005F7A36"/>
    <w:rsid w:val="005F7D80"/>
    <w:rsid w:val="006002CF"/>
    <w:rsid w:val="00616491"/>
    <w:rsid w:val="006166DD"/>
    <w:rsid w:val="00624599"/>
    <w:rsid w:val="00624ABF"/>
    <w:rsid w:val="00634A82"/>
    <w:rsid w:val="00634FE7"/>
    <w:rsid w:val="00635F2D"/>
    <w:rsid w:val="00637EEC"/>
    <w:rsid w:val="00647CA6"/>
    <w:rsid w:val="00652375"/>
    <w:rsid w:val="0065653C"/>
    <w:rsid w:val="00663523"/>
    <w:rsid w:val="00666811"/>
    <w:rsid w:val="00666A75"/>
    <w:rsid w:val="00671CA2"/>
    <w:rsid w:val="0067244B"/>
    <w:rsid w:val="0067308E"/>
    <w:rsid w:val="00675954"/>
    <w:rsid w:val="00676C4C"/>
    <w:rsid w:val="006824DE"/>
    <w:rsid w:val="00690478"/>
    <w:rsid w:val="00691455"/>
    <w:rsid w:val="00696F13"/>
    <w:rsid w:val="006977D1"/>
    <w:rsid w:val="006A1F04"/>
    <w:rsid w:val="006A3D71"/>
    <w:rsid w:val="006A5798"/>
    <w:rsid w:val="006A708A"/>
    <w:rsid w:val="006B0C2E"/>
    <w:rsid w:val="006B0DBB"/>
    <w:rsid w:val="006B3E23"/>
    <w:rsid w:val="006C1973"/>
    <w:rsid w:val="006C6ABE"/>
    <w:rsid w:val="006C7579"/>
    <w:rsid w:val="006D12F1"/>
    <w:rsid w:val="006D71E7"/>
    <w:rsid w:val="006E12E2"/>
    <w:rsid w:val="006E6345"/>
    <w:rsid w:val="006E6F83"/>
    <w:rsid w:val="007025F9"/>
    <w:rsid w:val="00706605"/>
    <w:rsid w:val="00706951"/>
    <w:rsid w:val="00707B8A"/>
    <w:rsid w:val="0071098E"/>
    <w:rsid w:val="00712464"/>
    <w:rsid w:val="00713143"/>
    <w:rsid w:val="007229BB"/>
    <w:rsid w:val="00732DE7"/>
    <w:rsid w:val="00733DA2"/>
    <w:rsid w:val="00744CB2"/>
    <w:rsid w:val="007452A5"/>
    <w:rsid w:val="00751B0D"/>
    <w:rsid w:val="007523D7"/>
    <w:rsid w:val="00757A77"/>
    <w:rsid w:val="00761C7F"/>
    <w:rsid w:val="007636D3"/>
    <w:rsid w:val="0076425A"/>
    <w:rsid w:val="007710DE"/>
    <w:rsid w:val="007802C7"/>
    <w:rsid w:val="007841B1"/>
    <w:rsid w:val="0078624F"/>
    <w:rsid w:val="00786C18"/>
    <w:rsid w:val="00793CE4"/>
    <w:rsid w:val="00797E70"/>
    <w:rsid w:val="007A32D8"/>
    <w:rsid w:val="007B153B"/>
    <w:rsid w:val="007C15B3"/>
    <w:rsid w:val="007C2EC9"/>
    <w:rsid w:val="007C4991"/>
    <w:rsid w:val="007C6A6F"/>
    <w:rsid w:val="007C71B6"/>
    <w:rsid w:val="007D26E8"/>
    <w:rsid w:val="007D5443"/>
    <w:rsid w:val="007D58CB"/>
    <w:rsid w:val="007E669D"/>
    <w:rsid w:val="00804396"/>
    <w:rsid w:val="008073B2"/>
    <w:rsid w:val="00811161"/>
    <w:rsid w:val="00812353"/>
    <w:rsid w:val="008138BA"/>
    <w:rsid w:val="00815843"/>
    <w:rsid w:val="00824B47"/>
    <w:rsid w:val="00824E49"/>
    <w:rsid w:val="00827917"/>
    <w:rsid w:val="00834500"/>
    <w:rsid w:val="00837428"/>
    <w:rsid w:val="008409AE"/>
    <w:rsid w:val="008414B0"/>
    <w:rsid w:val="00843A2D"/>
    <w:rsid w:val="00845797"/>
    <w:rsid w:val="00862D63"/>
    <w:rsid w:val="00863F37"/>
    <w:rsid w:val="008664D1"/>
    <w:rsid w:val="00866C5E"/>
    <w:rsid w:val="008712ED"/>
    <w:rsid w:val="00871EEB"/>
    <w:rsid w:val="00876791"/>
    <w:rsid w:val="00877F82"/>
    <w:rsid w:val="008879B6"/>
    <w:rsid w:val="00887B5F"/>
    <w:rsid w:val="008A5B7B"/>
    <w:rsid w:val="008B7535"/>
    <w:rsid w:val="008C41A3"/>
    <w:rsid w:val="008C4263"/>
    <w:rsid w:val="008D336C"/>
    <w:rsid w:val="008D5D3E"/>
    <w:rsid w:val="008E3618"/>
    <w:rsid w:val="008E4660"/>
    <w:rsid w:val="0090355F"/>
    <w:rsid w:val="00915EA8"/>
    <w:rsid w:val="00916553"/>
    <w:rsid w:val="00916E2C"/>
    <w:rsid w:val="00922245"/>
    <w:rsid w:val="0092458B"/>
    <w:rsid w:val="00930EA9"/>
    <w:rsid w:val="0093159A"/>
    <w:rsid w:val="0093241E"/>
    <w:rsid w:val="009425CB"/>
    <w:rsid w:val="00957225"/>
    <w:rsid w:val="009573FD"/>
    <w:rsid w:val="00957531"/>
    <w:rsid w:val="00963D01"/>
    <w:rsid w:val="00973A28"/>
    <w:rsid w:val="00977C95"/>
    <w:rsid w:val="00984220"/>
    <w:rsid w:val="009933FB"/>
    <w:rsid w:val="009B1923"/>
    <w:rsid w:val="009B3AED"/>
    <w:rsid w:val="009B52F4"/>
    <w:rsid w:val="009B5E51"/>
    <w:rsid w:val="009B6ECC"/>
    <w:rsid w:val="009B719A"/>
    <w:rsid w:val="009B7834"/>
    <w:rsid w:val="009C2E40"/>
    <w:rsid w:val="009C31A0"/>
    <w:rsid w:val="009D10DC"/>
    <w:rsid w:val="009E404D"/>
    <w:rsid w:val="009F6CFD"/>
    <w:rsid w:val="009F7A96"/>
    <w:rsid w:val="00A02822"/>
    <w:rsid w:val="00A032D5"/>
    <w:rsid w:val="00A072CA"/>
    <w:rsid w:val="00A07670"/>
    <w:rsid w:val="00A10DC0"/>
    <w:rsid w:val="00A11C91"/>
    <w:rsid w:val="00A121DB"/>
    <w:rsid w:val="00A1408E"/>
    <w:rsid w:val="00A16C4A"/>
    <w:rsid w:val="00A17DF7"/>
    <w:rsid w:val="00A20626"/>
    <w:rsid w:val="00A217DE"/>
    <w:rsid w:val="00A25796"/>
    <w:rsid w:val="00A33FB9"/>
    <w:rsid w:val="00A513A4"/>
    <w:rsid w:val="00A7293D"/>
    <w:rsid w:val="00A74924"/>
    <w:rsid w:val="00A75CAF"/>
    <w:rsid w:val="00A81D57"/>
    <w:rsid w:val="00A86FDA"/>
    <w:rsid w:val="00A91290"/>
    <w:rsid w:val="00A96307"/>
    <w:rsid w:val="00AA16B5"/>
    <w:rsid w:val="00AA59BE"/>
    <w:rsid w:val="00AA6186"/>
    <w:rsid w:val="00AA730D"/>
    <w:rsid w:val="00AB0761"/>
    <w:rsid w:val="00AB0A7E"/>
    <w:rsid w:val="00AB7BE4"/>
    <w:rsid w:val="00AD3E04"/>
    <w:rsid w:val="00AD6CDA"/>
    <w:rsid w:val="00AE7BED"/>
    <w:rsid w:val="00B11C2A"/>
    <w:rsid w:val="00B1321A"/>
    <w:rsid w:val="00B13A67"/>
    <w:rsid w:val="00B146EF"/>
    <w:rsid w:val="00B161F1"/>
    <w:rsid w:val="00B16D42"/>
    <w:rsid w:val="00B20B5E"/>
    <w:rsid w:val="00B22BF8"/>
    <w:rsid w:val="00B24E3C"/>
    <w:rsid w:val="00B27B6F"/>
    <w:rsid w:val="00B33B83"/>
    <w:rsid w:val="00B444E5"/>
    <w:rsid w:val="00B4742A"/>
    <w:rsid w:val="00B478B1"/>
    <w:rsid w:val="00B537EB"/>
    <w:rsid w:val="00B54533"/>
    <w:rsid w:val="00B5704D"/>
    <w:rsid w:val="00B61646"/>
    <w:rsid w:val="00B70F5D"/>
    <w:rsid w:val="00B72295"/>
    <w:rsid w:val="00B74D2C"/>
    <w:rsid w:val="00B81606"/>
    <w:rsid w:val="00B83C7D"/>
    <w:rsid w:val="00B85339"/>
    <w:rsid w:val="00B90A7D"/>
    <w:rsid w:val="00BA72CF"/>
    <w:rsid w:val="00BC4165"/>
    <w:rsid w:val="00BD0DF3"/>
    <w:rsid w:val="00BD2EB2"/>
    <w:rsid w:val="00BE3C85"/>
    <w:rsid w:val="00BE5C87"/>
    <w:rsid w:val="00BE6BFF"/>
    <w:rsid w:val="00BF4485"/>
    <w:rsid w:val="00BF760D"/>
    <w:rsid w:val="00C2367B"/>
    <w:rsid w:val="00C2711E"/>
    <w:rsid w:val="00C301F1"/>
    <w:rsid w:val="00C31042"/>
    <w:rsid w:val="00C316E0"/>
    <w:rsid w:val="00C411F6"/>
    <w:rsid w:val="00C55490"/>
    <w:rsid w:val="00C6093F"/>
    <w:rsid w:val="00C651AE"/>
    <w:rsid w:val="00C748C8"/>
    <w:rsid w:val="00C77266"/>
    <w:rsid w:val="00C82D13"/>
    <w:rsid w:val="00C83376"/>
    <w:rsid w:val="00C86C8A"/>
    <w:rsid w:val="00C93E2F"/>
    <w:rsid w:val="00CA705F"/>
    <w:rsid w:val="00CB2100"/>
    <w:rsid w:val="00CB4D69"/>
    <w:rsid w:val="00CB7502"/>
    <w:rsid w:val="00CC1AC6"/>
    <w:rsid w:val="00CC4368"/>
    <w:rsid w:val="00CC7575"/>
    <w:rsid w:val="00CD13CA"/>
    <w:rsid w:val="00CD6C4C"/>
    <w:rsid w:val="00CF0D31"/>
    <w:rsid w:val="00CF5805"/>
    <w:rsid w:val="00D05CC4"/>
    <w:rsid w:val="00D148DB"/>
    <w:rsid w:val="00D2274E"/>
    <w:rsid w:val="00D36F6D"/>
    <w:rsid w:val="00D61FF5"/>
    <w:rsid w:val="00D70F5F"/>
    <w:rsid w:val="00D8398D"/>
    <w:rsid w:val="00D83EA1"/>
    <w:rsid w:val="00D86919"/>
    <w:rsid w:val="00D86C7D"/>
    <w:rsid w:val="00D8797E"/>
    <w:rsid w:val="00D91430"/>
    <w:rsid w:val="00D91DD4"/>
    <w:rsid w:val="00D93CA7"/>
    <w:rsid w:val="00DA48DA"/>
    <w:rsid w:val="00DB70A1"/>
    <w:rsid w:val="00DD0AE9"/>
    <w:rsid w:val="00DD6808"/>
    <w:rsid w:val="00DE0F2D"/>
    <w:rsid w:val="00DE1CE3"/>
    <w:rsid w:val="00DE2533"/>
    <w:rsid w:val="00DF14F5"/>
    <w:rsid w:val="00DF1FE0"/>
    <w:rsid w:val="00DF3649"/>
    <w:rsid w:val="00DF3D6F"/>
    <w:rsid w:val="00DF5977"/>
    <w:rsid w:val="00DF610D"/>
    <w:rsid w:val="00E01BDD"/>
    <w:rsid w:val="00E133F7"/>
    <w:rsid w:val="00E2389F"/>
    <w:rsid w:val="00E23D3B"/>
    <w:rsid w:val="00E269F1"/>
    <w:rsid w:val="00E4152C"/>
    <w:rsid w:val="00E419CA"/>
    <w:rsid w:val="00E4634D"/>
    <w:rsid w:val="00E5317F"/>
    <w:rsid w:val="00E569E6"/>
    <w:rsid w:val="00E64E81"/>
    <w:rsid w:val="00E73C1E"/>
    <w:rsid w:val="00E77542"/>
    <w:rsid w:val="00EA2E6E"/>
    <w:rsid w:val="00EA5313"/>
    <w:rsid w:val="00EA57C0"/>
    <w:rsid w:val="00EB0582"/>
    <w:rsid w:val="00EB1995"/>
    <w:rsid w:val="00EB3000"/>
    <w:rsid w:val="00EB3FA8"/>
    <w:rsid w:val="00EB499F"/>
    <w:rsid w:val="00EC137D"/>
    <w:rsid w:val="00EC3FAA"/>
    <w:rsid w:val="00EC6433"/>
    <w:rsid w:val="00ED20BD"/>
    <w:rsid w:val="00ED6498"/>
    <w:rsid w:val="00EF296E"/>
    <w:rsid w:val="00EF6D36"/>
    <w:rsid w:val="00F05EDA"/>
    <w:rsid w:val="00F143BD"/>
    <w:rsid w:val="00F15C49"/>
    <w:rsid w:val="00F2345A"/>
    <w:rsid w:val="00F2520E"/>
    <w:rsid w:val="00F265B2"/>
    <w:rsid w:val="00F34818"/>
    <w:rsid w:val="00F43306"/>
    <w:rsid w:val="00F44404"/>
    <w:rsid w:val="00F45181"/>
    <w:rsid w:val="00F478A1"/>
    <w:rsid w:val="00F5085D"/>
    <w:rsid w:val="00F53146"/>
    <w:rsid w:val="00F55977"/>
    <w:rsid w:val="00F62796"/>
    <w:rsid w:val="00F63565"/>
    <w:rsid w:val="00F643B8"/>
    <w:rsid w:val="00F66337"/>
    <w:rsid w:val="00F7168A"/>
    <w:rsid w:val="00F8293F"/>
    <w:rsid w:val="00F85968"/>
    <w:rsid w:val="00FA0FB8"/>
    <w:rsid w:val="00FA37F7"/>
    <w:rsid w:val="00FB052A"/>
    <w:rsid w:val="00FB135F"/>
    <w:rsid w:val="00FB65E5"/>
    <w:rsid w:val="00FB7EF8"/>
    <w:rsid w:val="00FC0D60"/>
    <w:rsid w:val="00FC188A"/>
    <w:rsid w:val="00FC2649"/>
    <w:rsid w:val="00FD2149"/>
    <w:rsid w:val="00FD31D4"/>
    <w:rsid w:val="00FD361E"/>
    <w:rsid w:val="00FF0FBD"/>
    <w:rsid w:val="00FF64C7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7B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F5085D"/>
    <w:rPr>
      <w:strike w:val="0"/>
      <w:dstrike w:val="0"/>
      <w:color w:val="333333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1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A121D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A121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7B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F5085D"/>
    <w:rPr>
      <w:strike w:val="0"/>
      <w:dstrike w:val="0"/>
      <w:color w:val="333333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1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A121D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A121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41CC-7CC0-4FF9-AAC7-95DF069D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tarif4</dc:creator>
  <cp:lastModifiedBy>Служба по тарифам ЧР Антонова М.В.</cp:lastModifiedBy>
  <cp:revision>75</cp:revision>
  <cp:lastPrinted>2022-11-16T14:38:00Z</cp:lastPrinted>
  <dcterms:created xsi:type="dcterms:W3CDTF">2020-12-08T16:02:00Z</dcterms:created>
  <dcterms:modified xsi:type="dcterms:W3CDTF">2022-11-16T14:38:00Z</dcterms:modified>
</cp:coreProperties>
</file>