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222"/>
        <w:gridCol w:w="183"/>
        <w:gridCol w:w="907"/>
        <w:gridCol w:w="180"/>
        <w:gridCol w:w="4006"/>
      </w:tblGrid>
      <w:tr w:rsidR="00E55435">
        <w:trPr>
          <w:trHeight w:val="719"/>
        </w:trPr>
        <w:tc>
          <w:tcPr>
            <w:tcW w:w="4222" w:type="dxa"/>
          </w:tcPr>
          <w:p w:rsidR="00E55435" w:rsidRDefault="00E55435">
            <w:pPr>
              <w:widowControl w:val="0"/>
              <w:spacing w:line="360" w:lineRule="atLeast"/>
              <w:jc w:val="right"/>
              <w:rPr>
                <w:rFonts w:ascii="PT Astra Serif" w:hAnsi="PT Astra Serif" w:cs="PT Astra Serif"/>
              </w:rPr>
            </w:pPr>
          </w:p>
        </w:tc>
        <w:tc>
          <w:tcPr>
            <w:tcW w:w="1270" w:type="dxa"/>
            <w:gridSpan w:val="3"/>
            <w:tcBorders>
              <w:left w:val="none" w:sz="4" w:space="0" w:color="000000"/>
            </w:tcBorders>
          </w:tcPr>
          <w:p w:rsidR="00E55435" w:rsidRDefault="004E390E">
            <w:pPr>
              <w:widowControl w:val="0"/>
              <w:spacing w:line="360" w:lineRule="atLeast"/>
              <w:jc w:val="right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noProof/>
              </w:rPr>
              <mc:AlternateContent>
                <mc:Choice Requires="wpg">
                  <w:drawing>
                    <wp:inline distT="0" distB="0" distL="0" distR="0">
                      <wp:extent cx="657225" cy="647700"/>
                      <wp:effectExtent l="0" t="0" r="9525" b="0"/>
                      <wp:docPr id="1" name="Рисунок 7" descr="ch_gerb_b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4" descr="ch_gerb_bw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5722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1.75pt;height:51.00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</w:p>
        </w:tc>
        <w:tc>
          <w:tcPr>
            <w:tcW w:w="4006" w:type="dxa"/>
          </w:tcPr>
          <w:p w:rsidR="00E55435" w:rsidRDefault="00E55435">
            <w:pPr>
              <w:widowControl w:val="0"/>
              <w:jc w:val="right"/>
              <w:rPr>
                <w:rFonts w:ascii="PT Astra Serif" w:hAnsi="PT Astra Serif" w:cs="PT Astra Serif"/>
              </w:rPr>
            </w:pPr>
          </w:p>
        </w:tc>
      </w:tr>
      <w:tr w:rsidR="00E55435">
        <w:tc>
          <w:tcPr>
            <w:tcW w:w="4405" w:type="dxa"/>
            <w:gridSpan w:val="2"/>
          </w:tcPr>
          <w:p w:rsidR="00E55435" w:rsidRDefault="004E390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>ЧĂВАШ РЕСПУБЛИКИН</w:t>
            </w:r>
          </w:p>
          <w:p w:rsidR="00E55435" w:rsidRDefault="004E390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 xml:space="preserve"> ТРАНСПОРТ  ТАТА  ÇУЛ-ЙĔ</w:t>
            </w:r>
            <w:proofErr w:type="gramStart"/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 xml:space="preserve"> ХУÇАЛĂХ</w:t>
            </w:r>
          </w:p>
          <w:p w:rsidR="00E55435" w:rsidRDefault="004E390E">
            <w:pPr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</w:rPr>
              <w:t xml:space="preserve"> МИНИСТЕРСТВИ</w:t>
            </w:r>
          </w:p>
          <w:p w:rsidR="00E55435" w:rsidRDefault="00E55435">
            <w:pPr>
              <w:widowControl w:val="0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</w:tcPr>
          <w:p w:rsidR="00E55435" w:rsidRDefault="00E55435">
            <w:pPr>
              <w:widowControl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186" w:type="dxa"/>
            <w:gridSpan w:val="2"/>
          </w:tcPr>
          <w:p w:rsidR="00E55435" w:rsidRDefault="004E390E">
            <w:pPr>
              <w:widowControl w:val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  <w:lang w:eastAsia="zh-CN"/>
              </w:rPr>
              <w:t xml:space="preserve">МИНИСТЕРСТВО </w:t>
            </w:r>
          </w:p>
          <w:p w:rsidR="00E55435" w:rsidRDefault="004E390E">
            <w:pPr>
              <w:widowControl w:val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  <w:r>
              <w:rPr>
                <w:rFonts w:ascii="PT Astra Serif" w:eastAsia="PT Astra Serif" w:hAnsi="PT Astra Serif" w:cs="PT Astra Serif"/>
                <w:b/>
                <w:sz w:val="18"/>
                <w:szCs w:val="18"/>
                <w:lang w:eastAsia="zh-CN"/>
              </w:rPr>
              <w:t>ТРАНСПОРТА И ДОРОЖНОГО ХОЗЯЙСТВА ЧУВАШСКОЙ РЕСПУБЛИКИ</w:t>
            </w:r>
          </w:p>
          <w:p w:rsidR="00E55435" w:rsidRDefault="00E55435">
            <w:pPr>
              <w:widowControl w:val="0"/>
              <w:jc w:val="center"/>
              <w:rPr>
                <w:rFonts w:ascii="PT Astra Serif" w:hAnsi="PT Astra Serif" w:cs="PT Astra Serif"/>
                <w:b/>
                <w:sz w:val="18"/>
                <w:szCs w:val="18"/>
              </w:rPr>
            </w:pPr>
          </w:p>
        </w:tc>
      </w:tr>
      <w:tr w:rsidR="00E55435">
        <w:tc>
          <w:tcPr>
            <w:tcW w:w="4405" w:type="dxa"/>
            <w:gridSpan w:val="2"/>
          </w:tcPr>
          <w:p w:rsidR="00E55435" w:rsidRDefault="004E390E">
            <w:pPr>
              <w:widowControl w:val="0"/>
              <w:tabs>
                <w:tab w:val="num" w:pos="0"/>
              </w:tabs>
              <w:jc w:val="center"/>
              <w:outlineLvl w:val="0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16"/>
                <w:szCs w:val="16"/>
                <w:lang w:eastAsia="zh-CN"/>
              </w:rPr>
              <w:t>ПРИКАЗ</w:t>
            </w:r>
          </w:p>
          <w:p w:rsidR="00E55435" w:rsidRDefault="00E55435">
            <w:pPr>
              <w:widowControl w:val="0"/>
              <w:tabs>
                <w:tab w:val="num" w:pos="0"/>
              </w:tabs>
              <w:jc w:val="center"/>
              <w:outlineLvl w:val="0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</w:p>
          <w:p w:rsidR="00E55435" w:rsidRDefault="004E390E">
            <w:pPr>
              <w:widowControl w:val="0"/>
              <w:tabs>
                <w:tab w:val="num" w:pos="0"/>
              </w:tabs>
              <w:jc w:val="center"/>
              <w:outlineLvl w:val="0"/>
              <w:rPr>
                <w:rFonts w:ascii="PT Astra Serif" w:hAnsi="PT Astra Serif" w:cs="PT Astra Serif"/>
                <w:bCs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bCs/>
                <w:sz w:val="16"/>
                <w:szCs w:val="16"/>
                <w:lang w:eastAsia="zh-CN"/>
              </w:rPr>
              <w:t>________________            ______________№</w:t>
            </w:r>
          </w:p>
          <w:p w:rsidR="00E55435" w:rsidRDefault="004E390E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>Шупашкар</w:t>
            </w:r>
            <w:proofErr w:type="spellEnd"/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 xml:space="preserve"> хули </w:t>
            </w:r>
          </w:p>
        </w:tc>
        <w:tc>
          <w:tcPr>
            <w:tcW w:w="907" w:type="dxa"/>
          </w:tcPr>
          <w:p w:rsidR="00E55435" w:rsidRDefault="00E55435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</w:p>
        </w:tc>
        <w:tc>
          <w:tcPr>
            <w:tcW w:w="4186" w:type="dxa"/>
            <w:gridSpan w:val="2"/>
          </w:tcPr>
          <w:p w:rsidR="00E55435" w:rsidRDefault="004E390E">
            <w:pPr>
              <w:widowControl w:val="0"/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b/>
                <w:sz w:val="16"/>
                <w:szCs w:val="16"/>
                <w:lang w:eastAsia="zh-CN"/>
              </w:rPr>
              <w:t>ПРИКАЗ</w:t>
            </w:r>
          </w:p>
          <w:p w:rsidR="00E55435" w:rsidRDefault="00E55435">
            <w:pPr>
              <w:widowControl w:val="0"/>
              <w:jc w:val="center"/>
              <w:rPr>
                <w:rFonts w:ascii="PT Astra Serif" w:hAnsi="PT Astra Serif" w:cs="PT Astra Serif"/>
                <w:b/>
                <w:sz w:val="16"/>
                <w:szCs w:val="16"/>
              </w:rPr>
            </w:pPr>
          </w:p>
          <w:p w:rsidR="00E55435" w:rsidRDefault="004E390E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>________________        № _______</w:t>
            </w:r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>________</w:t>
            </w:r>
          </w:p>
          <w:p w:rsidR="00E55435" w:rsidRDefault="004E390E">
            <w:pPr>
              <w:widowControl w:val="0"/>
              <w:jc w:val="center"/>
              <w:rPr>
                <w:rFonts w:ascii="PT Astra Serif" w:hAnsi="PT Astra Serif" w:cs="PT Astra Serif"/>
                <w:sz w:val="16"/>
                <w:szCs w:val="16"/>
              </w:rPr>
            </w:pPr>
            <w:r>
              <w:rPr>
                <w:rFonts w:ascii="PT Astra Serif" w:eastAsia="PT Astra Serif" w:hAnsi="PT Astra Serif" w:cs="PT Astra Serif"/>
                <w:sz w:val="16"/>
                <w:szCs w:val="16"/>
                <w:lang w:eastAsia="zh-CN"/>
              </w:rPr>
              <w:t>г. Чебоксары</w:t>
            </w:r>
          </w:p>
        </w:tc>
      </w:tr>
    </w:tbl>
    <w:p w:rsidR="00E55435" w:rsidRDefault="00E55435">
      <w:pPr>
        <w:ind w:right="4534"/>
        <w:jc w:val="both"/>
        <w:rPr>
          <w:rFonts w:ascii="PT Astra Serif" w:hAnsi="PT Astra Serif" w:cs="PT Astra Serif"/>
          <w:sz w:val="26"/>
          <w:szCs w:val="26"/>
        </w:rPr>
      </w:pPr>
    </w:p>
    <w:p w:rsidR="00E55435" w:rsidRDefault="00E55435">
      <w:pPr>
        <w:ind w:right="4534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E55435" w:rsidRDefault="004E390E">
      <w:pPr>
        <w:ind w:right="4534"/>
        <w:jc w:val="both"/>
        <w:rPr>
          <w:rFonts w:ascii="PT Astra Serif" w:eastAsia="PT Astra Serif" w:hAnsi="PT Astra Serif" w:cs="PT Astra Serif"/>
          <w:sz w:val="26"/>
          <w:szCs w:val="26"/>
        </w:rPr>
      </w:pPr>
      <w:bookmarkStart w:id="0" w:name="_GoBack"/>
      <w:r>
        <w:rPr>
          <w:rFonts w:ascii="PT Astra Serif" w:eastAsia="PT Astra Serif" w:hAnsi="PT Astra Serif" w:cs="PT Astra Serif"/>
          <w:sz w:val="26"/>
          <w:szCs w:val="26"/>
        </w:rPr>
        <w:t xml:space="preserve">О </w:t>
      </w:r>
      <w:r>
        <w:rPr>
          <w:rFonts w:ascii="PT Astra Serif" w:eastAsia="PT Astra Serif" w:hAnsi="PT Astra Serif" w:cs="PT Astra Serif"/>
          <w:sz w:val="26"/>
          <w:szCs w:val="26"/>
        </w:rPr>
        <w:t xml:space="preserve">транспортном обслуживании лиц, замещающих должности руководителей организаций, находящихся в ведении </w:t>
      </w:r>
      <w:r>
        <w:rPr>
          <w:rFonts w:ascii="PT Astra Serif" w:eastAsia="PT Astra Serif" w:hAnsi="PT Astra Serif" w:cs="PT Astra Serif"/>
          <w:sz w:val="26"/>
          <w:szCs w:val="26"/>
        </w:rPr>
        <w:t>Министерства транспорта и дорожного хозяйства Чувашской Республики</w:t>
      </w:r>
    </w:p>
    <w:bookmarkEnd w:id="0"/>
    <w:p w:rsidR="00E55435" w:rsidRDefault="00E55435">
      <w:pPr>
        <w:tabs>
          <w:tab w:val="left" w:pos="4253"/>
        </w:tabs>
        <w:ind w:right="4959"/>
        <w:jc w:val="both"/>
        <w:rPr>
          <w:rFonts w:ascii="PT Astra Serif" w:hAnsi="PT Astra Serif" w:cs="PT Astra Serif"/>
          <w:sz w:val="26"/>
          <w:szCs w:val="26"/>
        </w:rPr>
      </w:pPr>
    </w:p>
    <w:p w:rsidR="00E55435" w:rsidRPr="00F67F30" w:rsidRDefault="00E55435">
      <w:pPr>
        <w:pStyle w:val="ConsPlusNormal0"/>
        <w:ind w:firstLine="54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В целях повышения организации и эффективного руководства деятельностью организаций, находящихся в ведении Министерства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транспорта и дорожного хозяйства Чувашской Республики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, </w:t>
      </w:r>
      <w:proofErr w:type="gramStart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п</w:t>
      </w:r>
      <w:proofErr w:type="gramEnd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р и к а з ы в а ю: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1. Утвердить прилагаемое Положение о транспортном обслуживани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и лиц, замещающих должности руководителей организаций, находящихся в ведении Министерства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транспорта и дорожного хозяйства Чувашской Республики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, обеспечиваемого </w:t>
      </w:r>
      <w:proofErr w:type="gramStart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в</w:t>
      </w:r>
      <w:proofErr w:type="gramEnd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связи с исполнением ими должностных обязанностей.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2. </w:t>
      </w:r>
      <w:proofErr w:type="gramStart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Контроль за</w:t>
      </w:r>
      <w:proofErr w:type="gramEnd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исполнением настоящего прика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за оставляю за собой.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3. Настоящий приказ вступает в силу через десять дней после дня его официального опубликования.</w:t>
      </w:r>
    </w:p>
    <w:p w:rsidR="00E55435" w:rsidRDefault="00E55435">
      <w:pPr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E55435" w:rsidRDefault="00E55435">
      <w:pPr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E55435" w:rsidRDefault="00E55435">
      <w:pPr>
        <w:ind w:firstLine="709"/>
        <w:jc w:val="both"/>
        <w:rPr>
          <w:rFonts w:ascii="PT Astra Serif" w:hAnsi="PT Astra Serif" w:cs="PT Astra Serif"/>
          <w:color w:val="000000"/>
          <w:sz w:val="26"/>
          <w:szCs w:val="26"/>
        </w:rPr>
      </w:pPr>
    </w:p>
    <w:p w:rsidR="00E55435" w:rsidRDefault="004E390E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Министр                                                                                                          М.М. Петров </w:t>
      </w:r>
    </w:p>
    <w:p w:rsidR="00E55435" w:rsidRDefault="00E55435">
      <w:pPr>
        <w:jc w:val="both"/>
        <w:rPr>
          <w:rFonts w:ascii="PT Astra Serif" w:hAnsi="PT Astra Serif" w:cs="PT Astra Serif"/>
          <w:sz w:val="26"/>
          <w:szCs w:val="26"/>
        </w:rPr>
      </w:pPr>
    </w:p>
    <w:p w:rsidR="00E55435" w:rsidRDefault="00E55435">
      <w:pPr>
        <w:jc w:val="both"/>
        <w:rPr>
          <w:rFonts w:ascii="PT Astra Serif" w:hAnsi="PT Astra Serif" w:cs="PT Astra Serif"/>
          <w:sz w:val="26"/>
          <w:szCs w:val="26"/>
        </w:rPr>
      </w:pPr>
    </w:p>
    <w:p w:rsidR="00E55435" w:rsidRDefault="00E55435">
      <w:pPr>
        <w:jc w:val="both"/>
        <w:rPr>
          <w:rFonts w:ascii="PT Astra Serif" w:hAnsi="PT Astra Serif" w:cs="PT Astra Serif"/>
          <w:sz w:val="26"/>
          <w:szCs w:val="26"/>
        </w:rPr>
      </w:pPr>
    </w:p>
    <w:p w:rsidR="00E55435" w:rsidRDefault="00E55435">
      <w:pPr>
        <w:jc w:val="both"/>
        <w:rPr>
          <w:rFonts w:ascii="PT Astra Serif" w:hAnsi="PT Astra Serif" w:cs="PT Astra Serif"/>
          <w:sz w:val="26"/>
          <w:szCs w:val="26"/>
        </w:rPr>
      </w:pPr>
    </w:p>
    <w:p w:rsidR="00E55435" w:rsidRDefault="00E55435">
      <w:pPr>
        <w:jc w:val="both"/>
        <w:rPr>
          <w:rFonts w:ascii="PT Astra Serif" w:hAnsi="PT Astra Serif" w:cs="PT Astra Serif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E55435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4E390E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Утвержден</w:t>
      </w: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о</w:t>
      </w:r>
    </w:p>
    <w:p w:rsidR="00E55435" w:rsidRDefault="004E390E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приказом Министерства транспорта и дорожного хозяйства </w:t>
      </w:r>
    </w:p>
    <w:p w:rsidR="00E55435" w:rsidRDefault="004E390E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Чувашской Республики</w:t>
      </w:r>
    </w:p>
    <w:p w:rsidR="00E55435" w:rsidRDefault="004E390E">
      <w:pPr>
        <w:pStyle w:val="ConsPlusNormal"/>
        <w:ind w:left="5387"/>
        <w:contextualSpacing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от __________  2024 г. № ________</w:t>
      </w:r>
    </w:p>
    <w:p w:rsidR="00E55435" w:rsidRDefault="00E55435">
      <w:pPr>
        <w:pStyle w:val="ConsPlusNormal"/>
        <w:contextualSpacing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4E390E">
      <w:pPr>
        <w:pStyle w:val="ConsPlusNormal"/>
        <w:contextualSpacing/>
        <w:jc w:val="center"/>
        <w:rPr>
          <w:rFonts w:ascii="PT Astra Serif" w:eastAsia="PT Astra Serif" w:hAnsi="PT Astra Serif" w:cs="PT Astra Serif"/>
          <w:b/>
          <w:bCs/>
          <w:sz w:val="26"/>
          <w:szCs w:val="26"/>
        </w:rPr>
      </w:pPr>
      <w:r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Положение </w:t>
      </w:r>
    </w:p>
    <w:p w:rsidR="00E55435" w:rsidRDefault="004E390E">
      <w:pPr>
        <w:pStyle w:val="ConsPlusNormal"/>
        <w:contextualSpacing/>
        <w:jc w:val="center"/>
        <w:rPr>
          <w:rFonts w:ascii="PT Astra Serif" w:eastAsia="PT Astra Serif" w:hAnsi="PT Astra Serif" w:cs="PT Astra Serif"/>
          <w:b/>
          <w:bCs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b/>
          <w:bCs/>
          <w:sz w:val="26"/>
          <w:szCs w:val="26"/>
        </w:rPr>
        <w:t xml:space="preserve">о транспортном обслуживании лиц, замещающих должности руководителей организаций, находящихся в ведении Министерства </w:t>
      </w:r>
      <w:r>
        <w:rPr>
          <w:rFonts w:ascii="PT Astra Serif" w:eastAsia="PT Astra Serif" w:hAnsi="PT Astra Serif" w:cs="PT Astra Serif"/>
          <w:b/>
          <w:bCs/>
          <w:sz w:val="26"/>
          <w:szCs w:val="26"/>
        </w:rPr>
        <w:t>транспорта и дорожного хозяйства Чувашской Республики</w:t>
      </w:r>
    </w:p>
    <w:p w:rsidR="00E55435" w:rsidRDefault="00E55435">
      <w:pPr>
        <w:pStyle w:val="ConsPlusNormal"/>
        <w:contextualSpacing/>
        <w:jc w:val="both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Pr="00F67F30" w:rsidRDefault="004E390E">
      <w:pPr>
        <w:pStyle w:val="ConsPlusTitle"/>
        <w:jc w:val="center"/>
        <w:outlineLvl w:val="1"/>
        <w:rPr>
          <w:rFonts w:ascii="PT Astra Serif" w:hAnsi="PT Astra Serif" w:cs="PT Astra Serif"/>
          <w:b w:val="0"/>
          <w:sz w:val="26"/>
          <w:szCs w:val="26"/>
          <w:lang w:val="ru-RU"/>
        </w:rPr>
      </w:pPr>
      <w:r>
        <w:rPr>
          <w:rFonts w:ascii="PT Astra Serif" w:eastAsia="PT Astra Serif" w:hAnsi="PT Astra Serif" w:cs="PT Astra Serif"/>
          <w:bCs/>
          <w:sz w:val="26"/>
          <w:szCs w:val="26"/>
        </w:rPr>
        <w:t>I</w:t>
      </w:r>
      <w:r w:rsidRPr="00F67F30">
        <w:rPr>
          <w:rFonts w:ascii="PT Astra Serif" w:eastAsia="PT Astra Serif" w:hAnsi="PT Astra Serif" w:cs="PT Astra Serif"/>
          <w:bCs/>
          <w:sz w:val="26"/>
          <w:szCs w:val="26"/>
          <w:lang w:val="ru-RU"/>
        </w:rPr>
        <w:t>. Общие положения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1.1. Настоящее Положение определяет порядок транспортного обслужи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вания лиц, замещающих должности руководителей организаций, находящихся в ведении Министерства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транспорта и дорожного хозяйства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Чувашской Республики (далее также - Учреждение), обеспечиваемого в связи с исполнением ими должностных обязанностей.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1.2. Служебн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ым транспортом, находящимся на балансе или в безвозмездном пользовании соответствующего Учреждения (далее - служебный автотранспорт), обеспечиваются лица, замещающие должности руководителей организаций, находящихся в ведении Министерства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транспорта и дорож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ного хозяйства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Чувашской Республики (далее также - руководители).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1.3. Транспортное обслуживание руководителей служебным автотранспортом осуществляется в следующих формах: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а) предоставление служебного автотранспорта с персональным закреплением;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б) предоставление служебного автотранспорта без персонального закрепления.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1.4. Руководители обязаны использовать служебный автотранспо</w:t>
      </w:r>
      <w:proofErr w:type="gramStart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рт стр</w:t>
      </w:r>
      <w:proofErr w:type="gramEnd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ого по назначению, а также в целях исполнения должностных обязанностей.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Title"/>
        <w:jc w:val="center"/>
        <w:outlineLvl w:val="1"/>
        <w:rPr>
          <w:rFonts w:ascii="PT Astra Serif" w:hAnsi="PT Astra Serif" w:cs="PT Astra Serif"/>
          <w:b w:val="0"/>
          <w:sz w:val="26"/>
          <w:szCs w:val="26"/>
          <w:lang w:val="ru-RU"/>
        </w:rPr>
      </w:pPr>
      <w:r>
        <w:rPr>
          <w:rFonts w:ascii="PT Astra Serif" w:eastAsia="PT Astra Serif" w:hAnsi="PT Astra Serif" w:cs="PT Astra Serif"/>
          <w:bCs/>
          <w:sz w:val="26"/>
          <w:szCs w:val="26"/>
        </w:rPr>
        <w:t>II</w:t>
      </w:r>
      <w:r w:rsidRPr="00F67F30">
        <w:rPr>
          <w:rFonts w:ascii="PT Astra Serif" w:eastAsia="PT Astra Serif" w:hAnsi="PT Astra Serif" w:cs="PT Astra Serif"/>
          <w:bCs/>
          <w:sz w:val="26"/>
          <w:szCs w:val="26"/>
          <w:lang w:val="ru-RU"/>
        </w:rPr>
        <w:t>. Предоставление служебного автотранспор</w:t>
      </w:r>
      <w:r w:rsidRPr="00F67F30">
        <w:rPr>
          <w:rFonts w:ascii="PT Astra Serif" w:eastAsia="PT Astra Serif" w:hAnsi="PT Astra Serif" w:cs="PT Astra Serif"/>
          <w:bCs/>
          <w:sz w:val="26"/>
          <w:szCs w:val="26"/>
          <w:lang w:val="ru-RU"/>
        </w:rPr>
        <w:t>та</w:t>
      </w:r>
    </w:p>
    <w:p w:rsidR="00E55435" w:rsidRPr="00F67F30" w:rsidRDefault="004E390E">
      <w:pPr>
        <w:pStyle w:val="ConsPlusTitle"/>
        <w:jc w:val="center"/>
        <w:rPr>
          <w:rFonts w:ascii="PT Astra Serif" w:hAnsi="PT Astra Serif" w:cs="PT Astra Serif"/>
          <w:b w:val="0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bCs/>
          <w:sz w:val="26"/>
          <w:szCs w:val="26"/>
          <w:lang w:val="ru-RU"/>
        </w:rPr>
        <w:t>с персональным закреплением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2.1. Служебный автотранспорт персонально закрепляется за руководителем приказом руководителя Учреждения.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2.2. Закрепленный служебный автотранспорт используется руководителем в рабочее время, а также во время, необходимое для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прибытия к месту работы и обратно, при служебной необходимости для выполнения должностных обязанностей за пределами продолжительности рабочего времени, в выходные (нерабочие праздничные) дни.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2.3. Руководитель, имеющий закрепленный служебный автотранспорт, по своему решению предоставляет его сотрудникам возглавляемого им Учреждения для выполнения его служебных поручений.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Title"/>
        <w:jc w:val="center"/>
        <w:outlineLvl w:val="1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eastAsia="PT Astra Serif" w:hAnsi="PT Astra Serif" w:cs="PT Astra Serif"/>
          <w:bCs/>
          <w:sz w:val="26"/>
          <w:szCs w:val="26"/>
        </w:rPr>
        <w:t>III</w:t>
      </w:r>
      <w:r w:rsidRPr="00F67F30">
        <w:rPr>
          <w:rFonts w:ascii="PT Astra Serif" w:eastAsia="PT Astra Serif" w:hAnsi="PT Astra Serif" w:cs="PT Astra Serif"/>
          <w:bCs/>
          <w:sz w:val="26"/>
          <w:szCs w:val="26"/>
          <w:lang w:val="ru-RU"/>
        </w:rPr>
        <w:t>. Предоставление служебного автотранспорта</w:t>
      </w:r>
    </w:p>
    <w:p w:rsidR="00E55435" w:rsidRPr="00F67F30" w:rsidRDefault="004E390E">
      <w:pPr>
        <w:pStyle w:val="ConsPlusTitle"/>
        <w:jc w:val="center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bCs/>
          <w:sz w:val="26"/>
          <w:szCs w:val="26"/>
          <w:lang w:val="ru-RU"/>
        </w:rPr>
        <w:t>без персонального закреплен</w:t>
      </w:r>
      <w:r w:rsidRPr="00F67F30">
        <w:rPr>
          <w:rFonts w:ascii="PT Astra Serif" w:eastAsia="PT Astra Serif" w:hAnsi="PT Astra Serif" w:cs="PT Astra Serif"/>
          <w:bCs/>
          <w:sz w:val="26"/>
          <w:szCs w:val="26"/>
          <w:lang w:val="ru-RU"/>
        </w:rPr>
        <w:t>ия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3.1. Служебный автотранспорт, находящийся на балансе Учреждения, предоставляется руководителю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Учреждения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, а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также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лицу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исполняющему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его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обязанности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для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исполнения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должностных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обязанностей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в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обезличенном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порядке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(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без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закрепления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конкретного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служебного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автотранспорта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и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водителя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) в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рабочее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время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, а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также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во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время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,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необходимое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для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прибытия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к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месту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 xml:space="preserve"> работы и </w:t>
      </w:r>
      <w:proofErr w:type="spellStart"/>
      <w:r>
        <w:rPr>
          <w:rFonts w:ascii="PT Astra Serif" w:eastAsia="PT Astra Serif" w:hAnsi="PT Astra Serif" w:cs="PT Astra Serif"/>
          <w:sz w:val="26"/>
          <w:szCs w:val="26"/>
        </w:rPr>
        <w:t>обратно</w:t>
      </w:r>
      <w:proofErr w:type="spellEnd"/>
      <w:r>
        <w:rPr>
          <w:rFonts w:ascii="PT Astra Serif" w:eastAsia="PT Astra Serif" w:hAnsi="PT Astra Serif" w:cs="PT Astra Serif"/>
          <w:sz w:val="26"/>
          <w:szCs w:val="26"/>
        </w:rPr>
        <w:t>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3.2. При служебной необходимости для осуществления должностных обязанностей за пределами продолжительности рабочего времени, а также в выходны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е (нерабочие праздничные) дни использование служебного автотранспорта без персонального закрепления осуществляется приказом руководителя Учреждения либо лица, исполняющего его обязанности.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Title"/>
        <w:jc w:val="center"/>
        <w:outlineLvl w:val="1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eastAsia="PT Astra Serif" w:hAnsi="PT Astra Serif" w:cs="PT Astra Serif"/>
          <w:sz w:val="26"/>
          <w:szCs w:val="26"/>
        </w:rPr>
        <w:t>IV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. Учет и контроль использования служебного автотранспорта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4.1.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Служебный автотранспорт руководителем Учреждения используется в пределах средств, предусмотренных бюджетной сметой Учреждения на содержание служебного автотранспорта на соответствующий финансовый год.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4.2. Контроль использования служебного автотранспорта о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существляет руководитель Учреждения либо должностное лицо, определенное руководителем Учреждения ответственным за осуществление контроля и ведение учета использования служебного автотранспорта.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4.3. </w:t>
      </w:r>
      <w:proofErr w:type="gramStart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В рамках осуществления контроля за деятельностью государс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твенных учреждений Чувашской Республики, подведомственных Министерству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транспорта и дорожного хозяйства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Чувашской Республики, согласно приказу Министерства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транспорта и дорожного хозяйства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Чувашской Республики от 25 февраля 2020 г. №</w:t>
      </w:r>
      <w:r>
        <w:rPr>
          <w:rFonts w:ascii="PT Astra Serif" w:eastAsia="PT Astra Serif" w:hAnsi="PT Astra Serif" w:cs="PT Astra Serif"/>
          <w:sz w:val="26"/>
          <w:szCs w:val="26"/>
        </w:rPr>
        <w:t> 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02-03/22 </w:t>
      </w:r>
      <w:r w:rsidRPr="00F67F30">
        <w:rPr>
          <w:rFonts w:ascii="PT Astra Serif" w:eastAsia="PT Astra Serif" w:hAnsi="PT Astra Serif" w:cs="PT Astra Serif"/>
          <w:color w:val="000000" w:themeColor="text1"/>
          <w:sz w:val="26"/>
          <w:szCs w:val="26"/>
          <w:lang w:val="ru-RU"/>
        </w:rPr>
        <w:t>«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Об утвержден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ии регламента осуществления контроля за деятельностью государственных учреждений Чувашской Республики, подведомственных Министерству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транспорта и дорожного хозяйства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Чувашской Республики</w:t>
      </w:r>
      <w:r w:rsidRPr="00F67F30">
        <w:rPr>
          <w:rFonts w:ascii="PT Astra Serif" w:eastAsia="PT Astra Serif" w:hAnsi="PT Astra Serif" w:cs="PT Astra Serif"/>
          <w:color w:val="000000" w:themeColor="text1"/>
          <w:sz w:val="26"/>
          <w:szCs w:val="26"/>
          <w:lang w:val="ru-RU"/>
        </w:rPr>
        <w:t>»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(зарегистрирован в Государственной службе Чувашской Республики по</w:t>
      </w:r>
      <w:proofErr w:type="gramEnd"/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де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лам юстиции 18 марта 2020 г., регистрационный № 5822), Министерство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транспорта и дорожного хозяйства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 Чувашской Республики также осуществляет контроль использования служебного автотранспорта в Учреждении.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4.4. Руководитель Учреждения принимает меры по недоп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ущению превышения расходования средств, предусмотренных бюджетной сметой Учреждения на содержание служебного автотранспорта на соответствующий финансовый год.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Title"/>
        <w:jc w:val="center"/>
        <w:outlineLvl w:val="1"/>
        <w:rPr>
          <w:rFonts w:ascii="PT Astra Serif" w:hAnsi="PT Astra Serif" w:cs="PT Astra Serif"/>
          <w:sz w:val="26"/>
          <w:szCs w:val="26"/>
          <w:lang w:val="ru-RU"/>
        </w:rPr>
      </w:pPr>
      <w:r>
        <w:rPr>
          <w:rFonts w:ascii="PT Astra Serif" w:eastAsia="PT Astra Serif" w:hAnsi="PT Astra Serif" w:cs="PT Astra Serif"/>
          <w:sz w:val="26"/>
          <w:szCs w:val="26"/>
        </w:rPr>
        <w:t>V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. Заключительные положения</w:t>
      </w:r>
    </w:p>
    <w:p w:rsidR="00E55435" w:rsidRPr="00F67F30" w:rsidRDefault="00E55435">
      <w:pPr>
        <w:pStyle w:val="ConsPlusNormal0"/>
        <w:jc w:val="both"/>
        <w:rPr>
          <w:rFonts w:ascii="PT Astra Serif" w:hAnsi="PT Astra Serif" w:cs="PT Astra Serif"/>
          <w:sz w:val="26"/>
          <w:szCs w:val="26"/>
          <w:lang w:val="ru-RU"/>
        </w:rPr>
      </w:pP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5.1. Руководители, в распоряжение которых предоставлен служебный ав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тотранспорт: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несут персональную ответственность за его использование в соответствии с законодательством Российской Федерации;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при использовании служебного автотранспорта не вправе: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требовать от водителя действий, которые могут привести к порче или поломке служебного автотранспорта, нарушению правил дорожного движения;</w:t>
      </w:r>
    </w:p>
    <w:p w:rsidR="00E55435" w:rsidRPr="00F67F30" w:rsidRDefault="004E390E">
      <w:pPr>
        <w:pStyle w:val="ConsPlusNormal0"/>
        <w:ind w:firstLine="709"/>
        <w:jc w:val="both"/>
        <w:rPr>
          <w:rFonts w:ascii="PT Astra Serif" w:hAnsi="PT Astra Serif" w:cs="PT Astra Serif"/>
          <w:sz w:val="26"/>
          <w:szCs w:val="26"/>
          <w:lang w:val="ru-RU"/>
        </w:rPr>
      </w:pP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 xml:space="preserve">перевозить огнеопасные, взрывчатые, ядовитые, едкие и зловонные вещества, а также грузы, превышающие вместимость или </w:t>
      </w:r>
      <w:r w:rsidRPr="00F67F30">
        <w:rPr>
          <w:rFonts w:ascii="PT Astra Serif" w:eastAsia="PT Astra Serif" w:hAnsi="PT Astra Serif" w:cs="PT Astra Serif"/>
          <w:sz w:val="26"/>
          <w:szCs w:val="26"/>
          <w:lang w:val="ru-RU"/>
        </w:rPr>
        <w:t>допустимую массу служебного автотранспорта, а также загрязняющие салон служебного автотранспорта.</w:t>
      </w:r>
    </w:p>
    <w:p w:rsidR="00E55435" w:rsidRDefault="00E55435">
      <w:pPr>
        <w:pStyle w:val="ConsPlusNormal"/>
        <w:contextualSpacing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</w:p>
    <w:p w:rsidR="00E55435" w:rsidRDefault="004E390E">
      <w:pPr>
        <w:pStyle w:val="ConsPlusNormal"/>
        <w:contextualSpacing/>
        <w:jc w:val="center"/>
        <w:rPr>
          <w:rFonts w:ascii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>__________</w:t>
      </w:r>
    </w:p>
    <w:p w:rsidR="00E55435" w:rsidRDefault="00E55435">
      <w:pPr>
        <w:ind w:right="4534"/>
        <w:jc w:val="both"/>
        <w:rPr>
          <w:rFonts w:ascii="PT Astra Serif" w:hAnsi="PT Astra Serif" w:cs="PT Astra Serif"/>
          <w:sz w:val="26"/>
          <w:szCs w:val="26"/>
        </w:rPr>
      </w:pPr>
    </w:p>
    <w:sectPr w:rsidR="00E55435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0E" w:rsidRDefault="004E390E">
      <w:r>
        <w:separator/>
      </w:r>
    </w:p>
  </w:endnote>
  <w:endnote w:type="continuationSeparator" w:id="0">
    <w:p w:rsidR="004E390E" w:rsidRDefault="004E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0E" w:rsidRDefault="004E390E">
      <w:r>
        <w:separator/>
      </w:r>
    </w:p>
  </w:footnote>
  <w:footnote w:type="continuationSeparator" w:id="0">
    <w:p w:rsidR="004E390E" w:rsidRDefault="004E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35"/>
    <w:rsid w:val="004E390E"/>
    <w:rsid w:val="00E55435"/>
    <w:rsid w:val="00F6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Елена Матулене</dc:creator>
  <cp:lastModifiedBy>Минтранс ЧР Петрова Наталия</cp:lastModifiedBy>
  <cp:revision>2</cp:revision>
  <dcterms:created xsi:type="dcterms:W3CDTF">2024-06-04T10:47:00Z</dcterms:created>
  <dcterms:modified xsi:type="dcterms:W3CDTF">2024-06-04T10:47:00Z</dcterms:modified>
</cp:coreProperties>
</file>